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5714AE">
      <w:pPr>
        <w:jc w:val="both"/>
        <w:rPr>
          <w:rFonts w:hint="eastAsia" w:asciiTheme="minorEastAsia" w:hAnsiTheme="minorEastAsia" w:eastAsiaTheme="minorEastAsia"/>
          <w:b/>
          <w:sz w:val="28"/>
          <w:szCs w:val="28"/>
        </w:rPr>
      </w:pPr>
      <w:r>
        <w:rPr>
          <w:rFonts w:hint="eastAsia" w:cs="宋体" w:asciiTheme="minorEastAsia" w:hAnsiTheme="minorEastAsia" w:eastAsiaTheme="minorEastAsia"/>
          <w:b/>
          <w:sz w:val="28"/>
          <w:szCs w:val="28"/>
          <w:lang w:val="en-US" w:eastAsia="zh-CN"/>
        </w:rPr>
        <w:t xml:space="preserve">附件4：     </w:t>
      </w:r>
      <w:r>
        <w:rPr>
          <w:rFonts w:hint="eastAsia" w:cs="宋体" w:asciiTheme="minorEastAsia" w:hAnsiTheme="minorEastAsia" w:eastAsiaTheme="minorEastAsia"/>
          <w:b/>
          <w:sz w:val="28"/>
          <w:szCs w:val="28"/>
        </w:rPr>
        <w:t>阳江市</w:t>
      </w:r>
      <w:r>
        <w:rPr>
          <w:rFonts w:hint="eastAsia" w:cs="宋体" w:asciiTheme="minorEastAsia" w:hAnsiTheme="minorEastAsia" w:eastAsiaTheme="minorEastAsia"/>
          <w:b/>
          <w:sz w:val="28"/>
          <w:szCs w:val="28"/>
          <w:lang w:eastAsia="zh-CN"/>
        </w:rPr>
        <w:t>中医医院</w:t>
      </w:r>
      <w:r>
        <w:rPr>
          <w:rFonts w:hint="eastAsia" w:cs="宋体" w:asciiTheme="minorEastAsia" w:hAnsiTheme="minorEastAsia" w:eastAsiaTheme="minorEastAsia"/>
          <w:b/>
          <w:sz w:val="28"/>
          <w:szCs w:val="28"/>
        </w:rPr>
        <w:t>信息系统运维服务项目</w:t>
      </w:r>
    </w:p>
    <w:p w14:paraId="0BC115A1">
      <w:pPr>
        <w:rPr>
          <w:rFonts w:hint="eastAsia" w:asciiTheme="minorEastAsia" w:hAnsiTheme="minorEastAsia" w:eastAsiaTheme="minorEastAsia"/>
        </w:rPr>
      </w:pPr>
    </w:p>
    <w:p w14:paraId="096780BB">
      <w:pPr>
        <w:spacing w:line="380" w:lineRule="exact"/>
        <w:jc w:val="center"/>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技术要求</w:t>
      </w:r>
    </w:p>
    <w:p w14:paraId="62C24519">
      <w:pPr>
        <w:adjustRightInd w:val="0"/>
        <w:snapToGrid w:val="0"/>
        <w:spacing w:line="500" w:lineRule="exact"/>
        <w:jc w:val="left"/>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一、</w:t>
      </w:r>
      <w:bookmarkStart w:id="0" w:name="_Toc60040226"/>
      <w:r>
        <w:rPr>
          <w:rFonts w:hint="eastAsia" w:asciiTheme="minorEastAsia" w:hAnsiTheme="minorEastAsia" w:eastAsiaTheme="minorEastAsia"/>
          <w:b/>
          <w:bCs/>
          <w:sz w:val="24"/>
          <w:szCs w:val="24"/>
        </w:rPr>
        <w:t>项目内容</w:t>
      </w:r>
      <w:bookmarkEnd w:id="0"/>
    </w:p>
    <w:p w14:paraId="51E1AEA4">
      <w:pPr>
        <w:adjustRightInd w:val="0"/>
        <w:snapToGrid w:val="0"/>
        <w:spacing w:line="500" w:lineRule="exact"/>
        <w:jc w:val="left"/>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1、服务范围</w:t>
      </w:r>
    </w:p>
    <w:p w14:paraId="59F5AC42">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本次售后服务项目的服务范围涵盖《阳江市中医医院采购智慧医院建设软件开发服务项目》</w:t>
      </w:r>
      <w:r>
        <w:rPr>
          <w:rFonts w:hint="eastAsia" w:asciiTheme="minorEastAsia" w:hAnsiTheme="minorEastAsia" w:eastAsiaTheme="minorEastAsia"/>
          <w:sz w:val="24"/>
          <w:szCs w:val="24"/>
          <w:lang w:eastAsia="zh-CN"/>
        </w:rPr>
        <w:t>和</w:t>
      </w:r>
      <w:r>
        <w:rPr>
          <w:rFonts w:hint="eastAsia" w:asciiTheme="minorEastAsia" w:hAnsiTheme="minorEastAsia" w:eastAsiaTheme="minorEastAsia"/>
          <w:sz w:val="24"/>
          <w:szCs w:val="24"/>
          <w:lang w:val="en-US" w:eastAsia="zh-CN"/>
        </w:rPr>
        <w:t>《阳江市中医医院“互联网医院”建设采购项目》</w:t>
      </w:r>
      <w:r>
        <w:rPr>
          <w:rFonts w:hint="eastAsia" w:asciiTheme="minorEastAsia" w:hAnsiTheme="minorEastAsia" w:eastAsiaTheme="minorEastAsia"/>
          <w:sz w:val="24"/>
          <w:szCs w:val="24"/>
        </w:rPr>
        <w:t>合同</w:t>
      </w:r>
      <w:r>
        <w:rPr>
          <w:rFonts w:asciiTheme="minorEastAsia" w:hAnsiTheme="minorEastAsia" w:eastAsiaTheme="minorEastAsia"/>
          <w:sz w:val="24"/>
          <w:szCs w:val="24"/>
        </w:rPr>
        <w:t>建设内容</w:t>
      </w:r>
      <w:r>
        <w:rPr>
          <w:rFonts w:hint="eastAsia" w:asciiTheme="minorEastAsia" w:hAnsiTheme="minorEastAsia" w:eastAsiaTheme="minorEastAsia"/>
          <w:sz w:val="24"/>
          <w:szCs w:val="24"/>
        </w:rPr>
        <w:t>。具体模块清单如下：</w:t>
      </w:r>
    </w:p>
    <w:p w14:paraId="191B4A8C">
      <w:pPr>
        <w:adjustRightInd w:val="0"/>
        <w:snapToGrid w:val="0"/>
        <w:spacing w:line="500" w:lineRule="exact"/>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智慧医院建设</w:t>
      </w:r>
      <w:r>
        <w:rPr>
          <w:rFonts w:hint="eastAsia" w:asciiTheme="minorEastAsia" w:hAnsiTheme="minorEastAsia" w:eastAsiaTheme="minorEastAsia"/>
          <w:sz w:val="24"/>
          <w:szCs w:val="24"/>
          <w:lang w:eastAsia="zh-CN"/>
        </w:rPr>
        <w:t>项目</w:t>
      </w:r>
      <w:r>
        <w:rPr>
          <w:rFonts w:hint="eastAsia" w:asciiTheme="minorEastAsia" w:hAnsiTheme="minorEastAsia" w:eastAsiaTheme="minorEastAsia"/>
          <w:sz w:val="24"/>
          <w:szCs w:val="24"/>
        </w:rPr>
        <w:t>具体服务模块</w:t>
      </w:r>
      <w:r>
        <w:rPr>
          <w:rFonts w:hint="eastAsia" w:asciiTheme="minorEastAsia" w:hAnsiTheme="minorEastAsia" w:eastAsiaTheme="minorEastAsia"/>
          <w:sz w:val="24"/>
          <w:szCs w:val="24"/>
          <w:lang w:eastAsia="zh-CN"/>
        </w:rPr>
        <w:t>如下：</w:t>
      </w:r>
    </w:p>
    <w:tbl>
      <w:tblPr>
        <w:tblStyle w:val="7"/>
        <w:tblW w:w="0" w:type="auto"/>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437"/>
        <w:gridCol w:w="1591"/>
        <w:gridCol w:w="728"/>
        <w:gridCol w:w="3099"/>
        <w:gridCol w:w="1386"/>
      </w:tblGrid>
      <w:tr w14:paraId="57412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437" w:type="dxa"/>
            <w:shd w:val="clear" w:color="auto" w:fill="FFFFFF"/>
            <w:noWrap w:val="0"/>
            <w:vAlign w:val="center"/>
          </w:tcPr>
          <w:p w14:paraId="1E722317">
            <w:pPr>
              <w:adjustRightInd w:val="0"/>
              <w:snapToGrid w:val="0"/>
              <w:jc w:val="center"/>
              <w:rPr>
                <w:rFonts w:hint="eastAsia" w:ascii="仿宋_GB2312" w:eastAsia="仿宋_GB2312" w:cs="宋体"/>
                <w:b/>
                <w:bCs/>
                <w:color w:val="000000"/>
                <w:szCs w:val="21"/>
              </w:rPr>
            </w:pPr>
            <w:r>
              <w:rPr>
                <w:rFonts w:hint="eastAsia" w:ascii="仿宋_GB2312" w:eastAsia="仿宋_GB2312" w:cs="宋体"/>
                <w:b/>
                <w:bCs/>
                <w:color w:val="000000"/>
                <w:szCs w:val="21"/>
              </w:rPr>
              <w:t>大类</w:t>
            </w:r>
          </w:p>
        </w:tc>
        <w:tc>
          <w:tcPr>
            <w:tcW w:w="1591" w:type="dxa"/>
            <w:shd w:val="clear" w:color="auto" w:fill="FFFFFF"/>
            <w:noWrap w:val="0"/>
            <w:vAlign w:val="center"/>
          </w:tcPr>
          <w:p w14:paraId="427B8DA2">
            <w:pPr>
              <w:adjustRightInd w:val="0"/>
              <w:snapToGrid w:val="0"/>
              <w:jc w:val="center"/>
              <w:rPr>
                <w:rFonts w:hint="eastAsia" w:ascii="仿宋_GB2312" w:eastAsia="仿宋_GB2312" w:cs="宋体"/>
                <w:b/>
                <w:bCs/>
                <w:color w:val="000000"/>
                <w:szCs w:val="21"/>
              </w:rPr>
            </w:pPr>
            <w:r>
              <w:rPr>
                <w:rFonts w:hint="eastAsia" w:ascii="仿宋_GB2312" w:eastAsia="仿宋_GB2312" w:cs="宋体"/>
                <w:b/>
                <w:bCs/>
                <w:color w:val="000000"/>
                <w:szCs w:val="21"/>
              </w:rPr>
              <w:t>模块分类</w:t>
            </w:r>
          </w:p>
        </w:tc>
        <w:tc>
          <w:tcPr>
            <w:tcW w:w="728" w:type="dxa"/>
            <w:shd w:val="clear" w:color="auto" w:fill="FFFFFF"/>
            <w:noWrap w:val="0"/>
            <w:vAlign w:val="center"/>
          </w:tcPr>
          <w:p w14:paraId="767AC338">
            <w:pPr>
              <w:adjustRightInd w:val="0"/>
              <w:snapToGrid w:val="0"/>
              <w:jc w:val="center"/>
              <w:rPr>
                <w:rFonts w:hint="eastAsia" w:ascii="仿宋_GB2312" w:eastAsia="仿宋_GB2312" w:cs="宋体"/>
                <w:b/>
                <w:bCs/>
                <w:color w:val="000000"/>
                <w:szCs w:val="21"/>
              </w:rPr>
            </w:pPr>
            <w:r>
              <w:rPr>
                <w:rFonts w:hint="eastAsia" w:ascii="仿宋_GB2312" w:eastAsia="仿宋_GB2312" w:cs="宋体"/>
                <w:b/>
                <w:bCs/>
                <w:color w:val="000000"/>
                <w:szCs w:val="21"/>
              </w:rPr>
              <w:t>序号</w:t>
            </w:r>
          </w:p>
        </w:tc>
        <w:tc>
          <w:tcPr>
            <w:tcW w:w="3099" w:type="dxa"/>
            <w:shd w:val="clear" w:color="auto" w:fill="FFFFFF"/>
            <w:noWrap w:val="0"/>
            <w:vAlign w:val="center"/>
          </w:tcPr>
          <w:p w14:paraId="16A5A03E">
            <w:pPr>
              <w:adjustRightInd w:val="0"/>
              <w:snapToGrid w:val="0"/>
              <w:jc w:val="center"/>
              <w:rPr>
                <w:rFonts w:hint="eastAsia" w:ascii="仿宋_GB2312" w:eastAsia="仿宋_GB2312" w:cs="宋体"/>
                <w:b/>
                <w:bCs/>
                <w:color w:val="000000"/>
                <w:szCs w:val="21"/>
              </w:rPr>
            </w:pPr>
            <w:r>
              <w:rPr>
                <w:rFonts w:hint="eastAsia" w:ascii="仿宋_GB2312" w:eastAsia="仿宋_GB2312" w:cs="宋体"/>
                <w:b/>
                <w:bCs/>
                <w:color w:val="000000"/>
                <w:szCs w:val="21"/>
              </w:rPr>
              <w:t>模块名称</w:t>
            </w:r>
          </w:p>
        </w:tc>
        <w:tc>
          <w:tcPr>
            <w:tcW w:w="1386" w:type="dxa"/>
            <w:shd w:val="clear" w:color="auto" w:fill="FFFFFF"/>
            <w:noWrap w:val="0"/>
            <w:vAlign w:val="center"/>
          </w:tcPr>
          <w:p w14:paraId="63A9A56E">
            <w:pPr>
              <w:adjustRightInd w:val="0"/>
              <w:snapToGrid w:val="0"/>
              <w:jc w:val="center"/>
              <w:rPr>
                <w:rFonts w:hint="eastAsia" w:ascii="仿宋_GB2312" w:eastAsia="仿宋_GB2312" w:cs="宋体"/>
                <w:b/>
                <w:bCs/>
                <w:color w:val="000000"/>
                <w:szCs w:val="21"/>
              </w:rPr>
            </w:pPr>
            <w:r>
              <w:rPr>
                <w:rFonts w:hint="eastAsia" w:ascii="仿宋_GB2312" w:eastAsia="仿宋_GB2312" w:cs="宋体"/>
                <w:b/>
                <w:bCs/>
                <w:color w:val="000000"/>
                <w:szCs w:val="21"/>
              </w:rPr>
              <w:t>备注</w:t>
            </w:r>
          </w:p>
        </w:tc>
      </w:tr>
      <w:tr w14:paraId="6EBDE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restart"/>
            <w:shd w:val="clear" w:color="auto" w:fill="FFFFFF"/>
            <w:noWrap w:val="0"/>
            <w:vAlign w:val="center"/>
          </w:tcPr>
          <w:p w14:paraId="1E45A3FF">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医疗管理信息系统（HIS）</w:t>
            </w:r>
          </w:p>
        </w:tc>
        <w:tc>
          <w:tcPr>
            <w:tcW w:w="1591" w:type="dxa"/>
            <w:vMerge w:val="restart"/>
            <w:shd w:val="clear" w:color="auto" w:fill="FFFFFF"/>
            <w:noWrap w:val="0"/>
            <w:vAlign w:val="center"/>
          </w:tcPr>
          <w:p w14:paraId="07A21BC3">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门诊管理</w:t>
            </w:r>
          </w:p>
        </w:tc>
        <w:tc>
          <w:tcPr>
            <w:tcW w:w="728" w:type="dxa"/>
            <w:shd w:val="clear" w:color="auto" w:fill="FFFFFF"/>
            <w:noWrap w:val="0"/>
            <w:vAlign w:val="center"/>
          </w:tcPr>
          <w:p w14:paraId="11ADC8B0">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1</w:t>
            </w:r>
          </w:p>
        </w:tc>
        <w:tc>
          <w:tcPr>
            <w:tcW w:w="3099" w:type="dxa"/>
            <w:shd w:val="clear" w:color="auto" w:fill="FFFFFF"/>
            <w:noWrap w:val="0"/>
            <w:vAlign w:val="center"/>
          </w:tcPr>
          <w:p w14:paraId="69AB36E2">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 xml:space="preserve">门诊一卡通管理系统 </w:t>
            </w:r>
          </w:p>
        </w:tc>
        <w:tc>
          <w:tcPr>
            <w:tcW w:w="1386" w:type="dxa"/>
            <w:shd w:val="clear" w:color="auto" w:fill="FFFFFF"/>
            <w:noWrap w:val="0"/>
            <w:vAlign w:val="top"/>
          </w:tcPr>
          <w:p w14:paraId="775E5909">
            <w:pPr>
              <w:adjustRightInd w:val="0"/>
              <w:snapToGrid w:val="0"/>
              <w:rPr>
                <w:rFonts w:hint="eastAsia" w:ascii="仿宋_GB2312" w:eastAsia="仿宋_GB2312" w:cs="宋体"/>
                <w:color w:val="000000"/>
                <w:szCs w:val="21"/>
              </w:rPr>
            </w:pPr>
          </w:p>
        </w:tc>
      </w:tr>
      <w:tr w14:paraId="7510E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3EE99BE0">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4EAA6223">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140634D7">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2</w:t>
            </w:r>
          </w:p>
        </w:tc>
        <w:tc>
          <w:tcPr>
            <w:tcW w:w="3099" w:type="dxa"/>
            <w:shd w:val="clear" w:color="auto" w:fill="FFFFFF"/>
            <w:noWrap w:val="0"/>
            <w:vAlign w:val="center"/>
          </w:tcPr>
          <w:p w14:paraId="7E1CB3F5">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门急诊挂号系统</w:t>
            </w:r>
          </w:p>
        </w:tc>
        <w:tc>
          <w:tcPr>
            <w:tcW w:w="1386" w:type="dxa"/>
            <w:shd w:val="clear" w:color="auto" w:fill="FFFFFF"/>
            <w:noWrap w:val="0"/>
            <w:vAlign w:val="top"/>
          </w:tcPr>
          <w:p w14:paraId="0E5382E1">
            <w:pPr>
              <w:adjustRightInd w:val="0"/>
              <w:snapToGrid w:val="0"/>
              <w:rPr>
                <w:rFonts w:hint="eastAsia" w:ascii="仿宋_GB2312" w:eastAsia="仿宋_GB2312" w:cs="宋体"/>
                <w:color w:val="000000"/>
                <w:szCs w:val="21"/>
              </w:rPr>
            </w:pPr>
          </w:p>
        </w:tc>
      </w:tr>
      <w:tr w14:paraId="3E6C7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6BDC39CA">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55E550B4">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11871F0A">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3</w:t>
            </w:r>
          </w:p>
        </w:tc>
        <w:tc>
          <w:tcPr>
            <w:tcW w:w="3099" w:type="dxa"/>
            <w:shd w:val="clear" w:color="auto" w:fill="FFFFFF"/>
            <w:noWrap w:val="0"/>
            <w:vAlign w:val="center"/>
          </w:tcPr>
          <w:p w14:paraId="4D494520">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门诊分诊排队叫号系统</w:t>
            </w:r>
          </w:p>
        </w:tc>
        <w:tc>
          <w:tcPr>
            <w:tcW w:w="1386" w:type="dxa"/>
            <w:shd w:val="clear" w:color="auto" w:fill="FFFFFF"/>
            <w:noWrap w:val="0"/>
            <w:vAlign w:val="top"/>
          </w:tcPr>
          <w:p w14:paraId="3C86C306">
            <w:pPr>
              <w:adjustRightInd w:val="0"/>
              <w:snapToGrid w:val="0"/>
              <w:rPr>
                <w:rFonts w:hint="eastAsia" w:ascii="仿宋_GB2312" w:eastAsia="仿宋_GB2312" w:cs="宋体"/>
                <w:color w:val="000000"/>
                <w:szCs w:val="21"/>
              </w:rPr>
            </w:pPr>
          </w:p>
        </w:tc>
      </w:tr>
      <w:tr w14:paraId="47F9F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4C03B3BE">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42B57DB9">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582D6653">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4</w:t>
            </w:r>
          </w:p>
        </w:tc>
        <w:tc>
          <w:tcPr>
            <w:tcW w:w="3099" w:type="dxa"/>
            <w:shd w:val="clear" w:color="auto" w:fill="FFFFFF"/>
            <w:noWrap w:val="0"/>
            <w:vAlign w:val="center"/>
          </w:tcPr>
          <w:p w14:paraId="4B78D1B4">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门急诊收费系统</w:t>
            </w:r>
          </w:p>
        </w:tc>
        <w:tc>
          <w:tcPr>
            <w:tcW w:w="1386" w:type="dxa"/>
            <w:shd w:val="clear" w:color="auto" w:fill="FFFFFF"/>
            <w:noWrap w:val="0"/>
            <w:vAlign w:val="top"/>
          </w:tcPr>
          <w:p w14:paraId="72B67541">
            <w:pPr>
              <w:adjustRightInd w:val="0"/>
              <w:snapToGrid w:val="0"/>
              <w:rPr>
                <w:rFonts w:hint="eastAsia" w:ascii="仿宋_GB2312" w:eastAsia="仿宋_GB2312" w:cs="宋体"/>
                <w:color w:val="000000"/>
                <w:szCs w:val="21"/>
              </w:rPr>
            </w:pPr>
          </w:p>
        </w:tc>
      </w:tr>
      <w:tr w14:paraId="4D445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06A39685">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68E38729">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62BDA6DF">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5</w:t>
            </w:r>
          </w:p>
        </w:tc>
        <w:tc>
          <w:tcPr>
            <w:tcW w:w="3099" w:type="dxa"/>
            <w:shd w:val="clear" w:color="auto" w:fill="FFFFFF"/>
            <w:noWrap w:val="0"/>
            <w:vAlign w:val="center"/>
          </w:tcPr>
          <w:p w14:paraId="41F9D693">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门急诊医生工作站</w:t>
            </w:r>
          </w:p>
        </w:tc>
        <w:tc>
          <w:tcPr>
            <w:tcW w:w="1386" w:type="dxa"/>
            <w:shd w:val="clear" w:color="auto" w:fill="FFFFFF"/>
            <w:noWrap w:val="0"/>
            <w:vAlign w:val="top"/>
          </w:tcPr>
          <w:p w14:paraId="6031BD08">
            <w:pPr>
              <w:adjustRightInd w:val="0"/>
              <w:snapToGrid w:val="0"/>
              <w:rPr>
                <w:rFonts w:hint="eastAsia" w:ascii="仿宋_GB2312" w:eastAsia="仿宋_GB2312" w:cs="宋体"/>
                <w:color w:val="000000"/>
                <w:szCs w:val="21"/>
              </w:rPr>
            </w:pPr>
          </w:p>
        </w:tc>
      </w:tr>
      <w:tr w14:paraId="20B6E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642164CB">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76BE9307">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7F17AE4C">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6</w:t>
            </w:r>
          </w:p>
        </w:tc>
        <w:tc>
          <w:tcPr>
            <w:tcW w:w="3099" w:type="dxa"/>
            <w:shd w:val="clear" w:color="auto" w:fill="FFFFFF"/>
            <w:noWrap w:val="0"/>
            <w:vAlign w:val="center"/>
          </w:tcPr>
          <w:p w14:paraId="7456DAF0">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门急诊护士工作站</w:t>
            </w:r>
          </w:p>
        </w:tc>
        <w:tc>
          <w:tcPr>
            <w:tcW w:w="1386" w:type="dxa"/>
            <w:shd w:val="clear" w:color="auto" w:fill="FFFFFF"/>
            <w:noWrap w:val="0"/>
            <w:vAlign w:val="top"/>
          </w:tcPr>
          <w:p w14:paraId="09F4E913">
            <w:pPr>
              <w:adjustRightInd w:val="0"/>
              <w:snapToGrid w:val="0"/>
              <w:rPr>
                <w:rFonts w:hint="eastAsia" w:ascii="仿宋_GB2312" w:eastAsia="仿宋_GB2312" w:cs="宋体"/>
                <w:color w:val="000000"/>
                <w:szCs w:val="21"/>
              </w:rPr>
            </w:pPr>
          </w:p>
        </w:tc>
      </w:tr>
      <w:tr w14:paraId="22E4D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724C7707">
            <w:pPr>
              <w:adjustRightInd w:val="0"/>
              <w:snapToGrid w:val="0"/>
              <w:rPr>
                <w:rFonts w:hint="eastAsia" w:ascii="仿宋_GB2312" w:eastAsia="仿宋_GB2312" w:cs="宋体"/>
                <w:b/>
                <w:bCs/>
                <w:color w:val="000000"/>
                <w:szCs w:val="21"/>
              </w:rPr>
            </w:pPr>
          </w:p>
        </w:tc>
        <w:tc>
          <w:tcPr>
            <w:tcW w:w="1591" w:type="dxa"/>
            <w:vMerge w:val="restart"/>
            <w:shd w:val="clear" w:color="auto" w:fill="FFFFFF"/>
            <w:noWrap w:val="0"/>
            <w:vAlign w:val="center"/>
          </w:tcPr>
          <w:p w14:paraId="5D3966E3">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住院管理</w:t>
            </w:r>
          </w:p>
        </w:tc>
        <w:tc>
          <w:tcPr>
            <w:tcW w:w="728" w:type="dxa"/>
            <w:shd w:val="clear" w:color="auto" w:fill="FFFFFF"/>
            <w:noWrap w:val="0"/>
            <w:vAlign w:val="center"/>
          </w:tcPr>
          <w:p w14:paraId="76BE3E10">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7</w:t>
            </w:r>
          </w:p>
        </w:tc>
        <w:tc>
          <w:tcPr>
            <w:tcW w:w="3099" w:type="dxa"/>
            <w:shd w:val="clear" w:color="auto" w:fill="FFFFFF"/>
            <w:noWrap w:val="0"/>
            <w:vAlign w:val="center"/>
          </w:tcPr>
          <w:p w14:paraId="144BC2F6">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住院病人入出转系统</w:t>
            </w:r>
          </w:p>
        </w:tc>
        <w:tc>
          <w:tcPr>
            <w:tcW w:w="1386" w:type="dxa"/>
            <w:shd w:val="clear" w:color="auto" w:fill="FFFFFF"/>
            <w:noWrap w:val="0"/>
            <w:vAlign w:val="top"/>
          </w:tcPr>
          <w:p w14:paraId="298D4694">
            <w:pPr>
              <w:adjustRightInd w:val="0"/>
              <w:snapToGrid w:val="0"/>
              <w:rPr>
                <w:rFonts w:hint="eastAsia" w:ascii="仿宋_GB2312" w:eastAsia="仿宋_GB2312" w:cs="宋体"/>
                <w:color w:val="000000"/>
                <w:szCs w:val="21"/>
              </w:rPr>
            </w:pPr>
          </w:p>
        </w:tc>
      </w:tr>
      <w:tr w14:paraId="1B59D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5CC36934">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009C0BFC">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41A39EC3">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8</w:t>
            </w:r>
          </w:p>
        </w:tc>
        <w:tc>
          <w:tcPr>
            <w:tcW w:w="3099" w:type="dxa"/>
            <w:shd w:val="clear" w:color="auto" w:fill="FFFFFF"/>
            <w:noWrap w:val="0"/>
            <w:vAlign w:val="center"/>
          </w:tcPr>
          <w:p w14:paraId="02F304F5">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住院收费系统</w:t>
            </w:r>
          </w:p>
        </w:tc>
        <w:tc>
          <w:tcPr>
            <w:tcW w:w="1386" w:type="dxa"/>
            <w:shd w:val="clear" w:color="auto" w:fill="FFFFFF"/>
            <w:noWrap w:val="0"/>
            <w:vAlign w:val="top"/>
          </w:tcPr>
          <w:p w14:paraId="2E01F9DD">
            <w:pPr>
              <w:adjustRightInd w:val="0"/>
              <w:snapToGrid w:val="0"/>
              <w:rPr>
                <w:rFonts w:hint="eastAsia" w:ascii="仿宋_GB2312" w:eastAsia="仿宋_GB2312" w:cs="宋体"/>
                <w:color w:val="000000"/>
                <w:szCs w:val="21"/>
              </w:rPr>
            </w:pPr>
          </w:p>
        </w:tc>
      </w:tr>
      <w:tr w14:paraId="4E21E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44D02DC0">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090C5626">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4C7B8EBB">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9</w:t>
            </w:r>
          </w:p>
        </w:tc>
        <w:tc>
          <w:tcPr>
            <w:tcW w:w="3099" w:type="dxa"/>
            <w:shd w:val="clear" w:color="auto" w:fill="FFFFFF"/>
            <w:noWrap w:val="0"/>
            <w:vAlign w:val="center"/>
          </w:tcPr>
          <w:p w14:paraId="3127A9B3">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住院医生工作站</w:t>
            </w:r>
          </w:p>
        </w:tc>
        <w:tc>
          <w:tcPr>
            <w:tcW w:w="1386" w:type="dxa"/>
            <w:shd w:val="clear" w:color="auto" w:fill="FFFFFF"/>
            <w:noWrap w:val="0"/>
            <w:vAlign w:val="top"/>
          </w:tcPr>
          <w:p w14:paraId="74899E32">
            <w:pPr>
              <w:adjustRightInd w:val="0"/>
              <w:snapToGrid w:val="0"/>
              <w:rPr>
                <w:rFonts w:hint="eastAsia" w:ascii="仿宋_GB2312" w:eastAsia="仿宋_GB2312" w:cs="宋体"/>
                <w:color w:val="000000"/>
                <w:szCs w:val="21"/>
              </w:rPr>
            </w:pPr>
          </w:p>
        </w:tc>
      </w:tr>
      <w:tr w14:paraId="1A156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15B6C37C">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455ECACA">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5A5F0E01">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10</w:t>
            </w:r>
          </w:p>
        </w:tc>
        <w:tc>
          <w:tcPr>
            <w:tcW w:w="3099" w:type="dxa"/>
            <w:shd w:val="clear" w:color="auto" w:fill="FFFFFF"/>
            <w:noWrap w:val="0"/>
            <w:vAlign w:val="center"/>
          </w:tcPr>
          <w:p w14:paraId="40AAD7F6">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住院护士工作站</w:t>
            </w:r>
          </w:p>
        </w:tc>
        <w:tc>
          <w:tcPr>
            <w:tcW w:w="1386" w:type="dxa"/>
            <w:shd w:val="clear" w:color="auto" w:fill="FFFFFF"/>
            <w:noWrap w:val="0"/>
            <w:vAlign w:val="top"/>
          </w:tcPr>
          <w:p w14:paraId="4C4D83F5">
            <w:pPr>
              <w:adjustRightInd w:val="0"/>
              <w:snapToGrid w:val="0"/>
              <w:rPr>
                <w:rFonts w:hint="eastAsia" w:ascii="仿宋_GB2312" w:eastAsia="仿宋_GB2312" w:cs="宋体"/>
                <w:color w:val="000000"/>
                <w:szCs w:val="21"/>
              </w:rPr>
            </w:pPr>
          </w:p>
        </w:tc>
      </w:tr>
      <w:tr w14:paraId="50FDF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0E3C75F6">
            <w:pPr>
              <w:adjustRightInd w:val="0"/>
              <w:snapToGrid w:val="0"/>
              <w:rPr>
                <w:rFonts w:hint="eastAsia" w:ascii="仿宋_GB2312" w:eastAsia="仿宋_GB2312" w:cs="宋体"/>
                <w:b/>
                <w:bCs/>
                <w:color w:val="000000"/>
                <w:szCs w:val="21"/>
              </w:rPr>
            </w:pPr>
          </w:p>
        </w:tc>
        <w:tc>
          <w:tcPr>
            <w:tcW w:w="1591" w:type="dxa"/>
            <w:vMerge w:val="restart"/>
            <w:shd w:val="clear" w:color="auto" w:fill="FFFFFF"/>
            <w:noWrap w:val="0"/>
            <w:vAlign w:val="center"/>
          </w:tcPr>
          <w:p w14:paraId="3FDC292B">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医技管理</w:t>
            </w:r>
          </w:p>
        </w:tc>
        <w:tc>
          <w:tcPr>
            <w:tcW w:w="728" w:type="dxa"/>
            <w:shd w:val="clear" w:color="auto" w:fill="FFFFFF"/>
            <w:noWrap w:val="0"/>
            <w:vAlign w:val="center"/>
          </w:tcPr>
          <w:p w14:paraId="352D2014">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11</w:t>
            </w:r>
          </w:p>
        </w:tc>
        <w:tc>
          <w:tcPr>
            <w:tcW w:w="3099" w:type="dxa"/>
            <w:shd w:val="clear" w:color="auto" w:fill="FFFFFF"/>
            <w:noWrap w:val="0"/>
            <w:vAlign w:val="center"/>
          </w:tcPr>
          <w:p w14:paraId="7F8623A1">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医技计费管理系统</w:t>
            </w:r>
          </w:p>
        </w:tc>
        <w:tc>
          <w:tcPr>
            <w:tcW w:w="1386" w:type="dxa"/>
            <w:shd w:val="clear" w:color="auto" w:fill="FFFFFF"/>
            <w:noWrap w:val="0"/>
            <w:vAlign w:val="top"/>
          </w:tcPr>
          <w:p w14:paraId="1C158189">
            <w:pPr>
              <w:adjustRightInd w:val="0"/>
              <w:snapToGrid w:val="0"/>
              <w:rPr>
                <w:rFonts w:hint="eastAsia" w:ascii="仿宋_GB2312" w:eastAsia="仿宋_GB2312" w:cs="宋体"/>
                <w:color w:val="000000"/>
                <w:szCs w:val="21"/>
              </w:rPr>
            </w:pPr>
          </w:p>
        </w:tc>
      </w:tr>
      <w:tr w14:paraId="0AA92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3FB30BFB">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7522F310">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66A9E58A">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12</w:t>
            </w:r>
          </w:p>
        </w:tc>
        <w:tc>
          <w:tcPr>
            <w:tcW w:w="3099" w:type="dxa"/>
            <w:shd w:val="clear" w:color="auto" w:fill="FFFFFF"/>
            <w:noWrap w:val="0"/>
            <w:vAlign w:val="center"/>
          </w:tcPr>
          <w:p w14:paraId="7CF64353">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手术麻醉管理系统</w:t>
            </w:r>
          </w:p>
        </w:tc>
        <w:tc>
          <w:tcPr>
            <w:tcW w:w="1386" w:type="dxa"/>
            <w:shd w:val="clear" w:color="auto" w:fill="FFFFFF"/>
            <w:noWrap w:val="0"/>
            <w:vAlign w:val="top"/>
          </w:tcPr>
          <w:p w14:paraId="2024CD18">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不联设备</w:t>
            </w:r>
          </w:p>
        </w:tc>
      </w:tr>
      <w:tr w14:paraId="521EB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5017FD09">
            <w:pPr>
              <w:adjustRightInd w:val="0"/>
              <w:snapToGrid w:val="0"/>
              <w:rPr>
                <w:rFonts w:hint="eastAsia" w:ascii="仿宋_GB2312" w:eastAsia="仿宋_GB2312" w:cs="宋体"/>
                <w:b/>
                <w:bCs/>
                <w:color w:val="000000"/>
                <w:szCs w:val="21"/>
              </w:rPr>
            </w:pPr>
          </w:p>
        </w:tc>
        <w:tc>
          <w:tcPr>
            <w:tcW w:w="1591" w:type="dxa"/>
            <w:vMerge w:val="restart"/>
            <w:shd w:val="clear" w:color="auto" w:fill="FFFFFF"/>
            <w:noWrap w:val="0"/>
            <w:vAlign w:val="center"/>
          </w:tcPr>
          <w:p w14:paraId="2370EBE5">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药品管理</w:t>
            </w:r>
          </w:p>
        </w:tc>
        <w:tc>
          <w:tcPr>
            <w:tcW w:w="728" w:type="dxa"/>
            <w:shd w:val="clear" w:color="auto" w:fill="FFFFFF"/>
            <w:noWrap w:val="0"/>
            <w:vAlign w:val="center"/>
          </w:tcPr>
          <w:p w14:paraId="0A18CBEB">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13</w:t>
            </w:r>
          </w:p>
        </w:tc>
        <w:tc>
          <w:tcPr>
            <w:tcW w:w="3099" w:type="dxa"/>
            <w:shd w:val="clear" w:color="auto" w:fill="FFFFFF"/>
            <w:noWrap w:val="0"/>
            <w:vAlign w:val="center"/>
          </w:tcPr>
          <w:p w14:paraId="71B9DB19">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药库管理系统</w:t>
            </w:r>
          </w:p>
        </w:tc>
        <w:tc>
          <w:tcPr>
            <w:tcW w:w="1386" w:type="dxa"/>
            <w:shd w:val="clear" w:color="auto" w:fill="FFFFFF"/>
            <w:noWrap w:val="0"/>
            <w:vAlign w:val="top"/>
          </w:tcPr>
          <w:p w14:paraId="05C2653A">
            <w:pPr>
              <w:adjustRightInd w:val="0"/>
              <w:snapToGrid w:val="0"/>
              <w:rPr>
                <w:rFonts w:hint="eastAsia" w:ascii="仿宋_GB2312" w:eastAsia="仿宋_GB2312" w:cs="宋体"/>
                <w:color w:val="000000"/>
                <w:szCs w:val="21"/>
              </w:rPr>
            </w:pPr>
          </w:p>
        </w:tc>
      </w:tr>
      <w:tr w14:paraId="7AAE5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6985E338">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671AFCFE">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1B014F01">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14</w:t>
            </w:r>
          </w:p>
        </w:tc>
        <w:tc>
          <w:tcPr>
            <w:tcW w:w="3099" w:type="dxa"/>
            <w:shd w:val="clear" w:color="auto" w:fill="FFFFFF"/>
            <w:noWrap w:val="0"/>
            <w:vAlign w:val="center"/>
          </w:tcPr>
          <w:p w14:paraId="1BDC2F49">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门急诊药房管理系统</w:t>
            </w:r>
          </w:p>
        </w:tc>
        <w:tc>
          <w:tcPr>
            <w:tcW w:w="1386" w:type="dxa"/>
            <w:shd w:val="clear" w:color="auto" w:fill="FFFFFF"/>
            <w:noWrap w:val="0"/>
            <w:vAlign w:val="top"/>
          </w:tcPr>
          <w:p w14:paraId="1B18E730">
            <w:pPr>
              <w:adjustRightInd w:val="0"/>
              <w:snapToGrid w:val="0"/>
              <w:rPr>
                <w:rFonts w:hint="eastAsia" w:ascii="仿宋_GB2312" w:eastAsia="仿宋_GB2312" w:cs="宋体"/>
                <w:color w:val="000000"/>
                <w:szCs w:val="21"/>
              </w:rPr>
            </w:pPr>
          </w:p>
        </w:tc>
      </w:tr>
      <w:tr w14:paraId="3D83F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784E068A">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38A29CD0">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0FBDB8BF">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15</w:t>
            </w:r>
          </w:p>
        </w:tc>
        <w:tc>
          <w:tcPr>
            <w:tcW w:w="3099" w:type="dxa"/>
            <w:shd w:val="clear" w:color="auto" w:fill="FFFFFF"/>
            <w:noWrap w:val="0"/>
            <w:vAlign w:val="center"/>
          </w:tcPr>
          <w:p w14:paraId="7A475906">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门诊药房自助排队叫号系统</w:t>
            </w:r>
          </w:p>
        </w:tc>
        <w:tc>
          <w:tcPr>
            <w:tcW w:w="1386" w:type="dxa"/>
            <w:shd w:val="clear" w:color="auto" w:fill="FFFFFF"/>
            <w:noWrap w:val="0"/>
            <w:vAlign w:val="top"/>
          </w:tcPr>
          <w:p w14:paraId="782FE330">
            <w:pPr>
              <w:adjustRightInd w:val="0"/>
              <w:snapToGrid w:val="0"/>
              <w:rPr>
                <w:rFonts w:hint="eastAsia" w:ascii="仿宋_GB2312" w:eastAsia="仿宋_GB2312" w:cs="宋体"/>
                <w:color w:val="000000"/>
                <w:szCs w:val="21"/>
              </w:rPr>
            </w:pPr>
          </w:p>
        </w:tc>
      </w:tr>
      <w:tr w14:paraId="73198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5AE4FA59">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5A1F1FCB">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38F45EFF">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16</w:t>
            </w:r>
          </w:p>
        </w:tc>
        <w:tc>
          <w:tcPr>
            <w:tcW w:w="3099" w:type="dxa"/>
            <w:shd w:val="clear" w:color="auto" w:fill="FFFFFF"/>
            <w:noWrap w:val="0"/>
            <w:vAlign w:val="center"/>
          </w:tcPr>
          <w:p w14:paraId="38463A06">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合理用药系统</w:t>
            </w:r>
          </w:p>
        </w:tc>
        <w:tc>
          <w:tcPr>
            <w:tcW w:w="1386" w:type="dxa"/>
            <w:shd w:val="clear" w:color="auto" w:fill="FFFFFF"/>
            <w:noWrap w:val="0"/>
            <w:vAlign w:val="top"/>
          </w:tcPr>
          <w:p w14:paraId="4229067F">
            <w:pPr>
              <w:adjustRightInd w:val="0"/>
              <w:snapToGrid w:val="0"/>
              <w:rPr>
                <w:rFonts w:hint="eastAsia" w:ascii="仿宋_GB2312" w:eastAsia="仿宋_GB2312" w:cs="宋体"/>
                <w:color w:val="000000"/>
                <w:szCs w:val="21"/>
              </w:rPr>
            </w:pPr>
          </w:p>
        </w:tc>
      </w:tr>
      <w:tr w14:paraId="71CCB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6E03EFB3">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5A0A7BAD">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5FCD2D4B">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17</w:t>
            </w:r>
          </w:p>
        </w:tc>
        <w:tc>
          <w:tcPr>
            <w:tcW w:w="3099" w:type="dxa"/>
            <w:shd w:val="clear" w:color="auto" w:fill="FFFFFF"/>
            <w:noWrap w:val="0"/>
            <w:vAlign w:val="center"/>
          </w:tcPr>
          <w:p w14:paraId="64C2551C">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门诊处方点评系统</w:t>
            </w:r>
          </w:p>
        </w:tc>
        <w:tc>
          <w:tcPr>
            <w:tcW w:w="1386" w:type="dxa"/>
            <w:shd w:val="clear" w:color="auto" w:fill="FFFFFF"/>
            <w:noWrap w:val="0"/>
            <w:vAlign w:val="top"/>
          </w:tcPr>
          <w:p w14:paraId="1706084F">
            <w:pPr>
              <w:adjustRightInd w:val="0"/>
              <w:snapToGrid w:val="0"/>
              <w:rPr>
                <w:rFonts w:hint="eastAsia" w:ascii="仿宋_GB2312" w:eastAsia="仿宋_GB2312" w:cs="宋体"/>
                <w:color w:val="000000"/>
                <w:szCs w:val="21"/>
              </w:rPr>
            </w:pPr>
          </w:p>
        </w:tc>
      </w:tr>
      <w:tr w14:paraId="5726F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3607A805">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24AC6E23">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4EEE33A8">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18</w:t>
            </w:r>
          </w:p>
        </w:tc>
        <w:tc>
          <w:tcPr>
            <w:tcW w:w="3099" w:type="dxa"/>
            <w:shd w:val="clear" w:color="auto" w:fill="FFFFFF"/>
            <w:noWrap w:val="0"/>
            <w:vAlign w:val="center"/>
          </w:tcPr>
          <w:p w14:paraId="6D6A8FDD">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住院医嘱点评系统</w:t>
            </w:r>
          </w:p>
        </w:tc>
        <w:tc>
          <w:tcPr>
            <w:tcW w:w="1386" w:type="dxa"/>
            <w:shd w:val="clear" w:color="auto" w:fill="FFFFFF"/>
            <w:noWrap w:val="0"/>
            <w:vAlign w:val="top"/>
          </w:tcPr>
          <w:p w14:paraId="4C708D53">
            <w:pPr>
              <w:adjustRightInd w:val="0"/>
              <w:snapToGrid w:val="0"/>
              <w:rPr>
                <w:rFonts w:hint="eastAsia" w:ascii="仿宋_GB2312" w:eastAsia="仿宋_GB2312" w:cs="宋体"/>
                <w:color w:val="000000"/>
                <w:szCs w:val="21"/>
              </w:rPr>
            </w:pPr>
          </w:p>
        </w:tc>
      </w:tr>
      <w:tr w14:paraId="40D9D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4B7A5F3D">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07EC389B">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4B7C3C8C">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19</w:t>
            </w:r>
          </w:p>
        </w:tc>
        <w:tc>
          <w:tcPr>
            <w:tcW w:w="3099" w:type="dxa"/>
            <w:shd w:val="clear" w:color="auto" w:fill="FFFFFF"/>
            <w:noWrap w:val="0"/>
            <w:vAlign w:val="center"/>
          </w:tcPr>
          <w:p w14:paraId="28A38EBC">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抗菌药物管理系统</w:t>
            </w:r>
          </w:p>
        </w:tc>
        <w:tc>
          <w:tcPr>
            <w:tcW w:w="1386" w:type="dxa"/>
            <w:shd w:val="clear" w:color="auto" w:fill="FFFFFF"/>
            <w:noWrap w:val="0"/>
            <w:vAlign w:val="top"/>
          </w:tcPr>
          <w:p w14:paraId="02874205">
            <w:pPr>
              <w:adjustRightInd w:val="0"/>
              <w:snapToGrid w:val="0"/>
              <w:rPr>
                <w:rFonts w:hint="eastAsia" w:ascii="仿宋_GB2312" w:eastAsia="仿宋_GB2312" w:cs="宋体"/>
                <w:color w:val="000000"/>
                <w:szCs w:val="21"/>
              </w:rPr>
            </w:pPr>
          </w:p>
        </w:tc>
      </w:tr>
      <w:tr w14:paraId="3432E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55782BCD">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1604D183">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2B07CFA0">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20</w:t>
            </w:r>
          </w:p>
        </w:tc>
        <w:tc>
          <w:tcPr>
            <w:tcW w:w="3099" w:type="dxa"/>
            <w:shd w:val="clear" w:color="auto" w:fill="FFFFFF"/>
            <w:noWrap w:val="0"/>
            <w:vAlign w:val="center"/>
          </w:tcPr>
          <w:p w14:paraId="695E0CAA">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不良反应监测管理</w:t>
            </w:r>
          </w:p>
        </w:tc>
        <w:tc>
          <w:tcPr>
            <w:tcW w:w="1386" w:type="dxa"/>
            <w:shd w:val="clear" w:color="auto" w:fill="FFFFFF"/>
            <w:noWrap w:val="0"/>
            <w:vAlign w:val="top"/>
          </w:tcPr>
          <w:p w14:paraId="4E44E0D4">
            <w:pPr>
              <w:adjustRightInd w:val="0"/>
              <w:snapToGrid w:val="0"/>
              <w:rPr>
                <w:rFonts w:hint="eastAsia" w:ascii="仿宋_GB2312" w:eastAsia="仿宋_GB2312" w:cs="宋体"/>
                <w:color w:val="000000"/>
                <w:szCs w:val="21"/>
              </w:rPr>
            </w:pPr>
          </w:p>
        </w:tc>
      </w:tr>
      <w:tr w14:paraId="67938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427F05C0">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6B59657E">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622C11E8">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21</w:t>
            </w:r>
          </w:p>
        </w:tc>
        <w:tc>
          <w:tcPr>
            <w:tcW w:w="3099" w:type="dxa"/>
            <w:shd w:val="clear" w:color="auto" w:fill="FFFFFF"/>
            <w:noWrap w:val="0"/>
            <w:vAlign w:val="center"/>
          </w:tcPr>
          <w:p w14:paraId="2C9D45CE">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阳光用药</w:t>
            </w:r>
          </w:p>
        </w:tc>
        <w:tc>
          <w:tcPr>
            <w:tcW w:w="1386" w:type="dxa"/>
            <w:shd w:val="clear" w:color="auto" w:fill="FFFFFF"/>
            <w:noWrap w:val="0"/>
            <w:vAlign w:val="top"/>
          </w:tcPr>
          <w:p w14:paraId="0DB2C8F5">
            <w:pPr>
              <w:adjustRightInd w:val="0"/>
              <w:snapToGrid w:val="0"/>
              <w:rPr>
                <w:rFonts w:hint="eastAsia" w:ascii="仿宋_GB2312" w:eastAsia="仿宋_GB2312" w:cs="宋体"/>
                <w:color w:val="000000"/>
                <w:szCs w:val="21"/>
              </w:rPr>
            </w:pPr>
          </w:p>
        </w:tc>
      </w:tr>
      <w:tr w14:paraId="0DB81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4EC90E25">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32B708F5">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077BCA81">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22</w:t>
            </w:r>
          </w:p>
        </w:tc>
        <w:tc>
          <w:tcPr>
            <w:tcW w:w="3099" w:type="dxa"/>
            <w:shd w:val="clear" w:color="auto" w:fill="FFFFFF"/>
            <w:noWrap w:val="0"/>
            <w:vAlign w:val="center"/>
          </w:tcPr>
          <w:p w14:paraId="6374091E">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住院药房管理系统</w:t>
            </w:r>
          </w:p>
        </w:tc>
        <w:tc>
          <w:tcPr>
            <w:tcW w:w="1386" w:type="dxa"/>
            <w:shd w:val="clear" w:color="auto" w:fill="FFFFFF"/>
            <w:noWrap w:val="0"/>
            <w:vAlign w:val="top"/>
          </w:tcPr>
          <w:p w14:paraId="1980BD89">
            <w:pPr>
              <w:adjustRightInd w:val="0"/>
              <w:snapToGrid w:val="0"/>
              <w:rPr>
                <w:rFonts w:hint="eastAsia" w:ascii="仿宋_GB2312" w:eastAsia="仿宋_GB2312" w:cs="宋体"/>
                <w:color w:val="000000"/>
                <w:szCs w:val="21"/>
              </w:rPr>
            </w:pPr>
          </w:p>
        </w:tc>
      </w:tr>
      <w:tr w14:paraId="1213E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72978BCA">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1C679572">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098DF7CA">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23</w:t>
            </w:r>
          </w:p>
        </w:tc>
        <w:tc>
          <w:tcPr>
            <w:tcW w:w="3099" w:type="dxa"/>
            <w:shd w:val="clear" w:color="auto" w:fill="FFFFFF"/>
            <w:noWrap w:val="0"/>
            <w:vAlign w:val="center"/>
          </w:tcPr>
          <w:p w14:paraId="37990DDF">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抗菌素分级管理系统</w:t>
            </w:r>
          </w:p>
        </w:tc>
        <w:tc>
          <w:tcPr>
            <w:tcW w:w="1386" w:type="dxa"/>
            <w:shd w:val="clear" w:color="auto" w:fill="FFFFFF"/>
            <w:noWrap w:val="0"/>
            <w:vAlign w:val="top"/>
          </w:tcPr>
          <w:p w14:paraId="16673525">
            <w:pPr>
              <w:adjustRightInd w:val="0"/>
              <w:snapToGrid w:val="0"/>
              <w:rPr>
                <w:rFonts w:hint="eastAsia" w:ascii="仿宋_GB2312" w:eastAsia="仿宋_GB2312" w:cs="宋体"/>
                <w:color w:val="000000"/>
                <w:szCs w:val="21"/>
              </w:rPr>
            </w:pPr>
          </w:p>
        </w:tc>
      </w:tr>
      <w:tr w14:paraId="7ACC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48F74E48">
            <w:pPr>
              <w:adjustRightInd w:val="0"/>
              <w:snapToGrid w:val="0"/>
              <w:rPr>
                <w:rFonts w:hint="eastAsia" w:ascii="仿宋_GB2312" w:eastAsia="仿宋_GB2312" w:cs="宋体"/>
                <w:b/>
                <w:bCs/>
                <w:color w:val="000000"/>
                <w:szCs w:val="21"/>
              </w:rPr>
            </w:pPr>
          </w:p>
        </w:tc>
        <w:tc>
          <w:tcPr>
            <w:tcW w:w="1591" w:type="dxa"/>
            <w:vMerge w:val="restart"/>
            <w:shd w:val="clear" w:color="auto" w:fill="FFFFFF"/>
            <w:noWrap w:val="0"/>
            <w:vAlign w:val="center"/>
          </w:tcPr>
          <w:p w14:paraId="237F613B">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统计查询</w:t>
            </w:r>
          </w:p>
        </w:tc>
        <w:tc>
          <w:tcPr>
            <w:tcW w:w="728" w:type="dxa"/>
            <w:shd w:val="clear" w:color="auto" w:fill="FFFFFF"/>
            <w:noWrap w:val="0"/>
            <w:vAlign w:val="center"/>
          </w:tcPr>
          <w:p w14:paraId="2C2A07A2">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24</w:t>
            </w:r>
          </w:p>
        </w:tc>
        <w:tc>
          <w:tcPr>
            <w:tcW w:w="3099" w:type="dxa"/>
            <w:shd w:val="clear" w:color="auto" w:fill="FFFFFF"/>
            <w:noWrap w:val="0"/>
            <w:vAlign w:val="center"/>
          </w:tcPr>
          <w:p w14:paraId="6134E608">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自定义报表管理系统</w:t>
            </w:r>
          </w:p>
        </w:tc>
        <w:tc>
          <w:tcPr>
            <w:tcW w:w="1386" w:type="dxa"/>
            <w:shd w:val="clear" w:color="auto" w:fill="FFFFFF"/>
            <w:noWrap w:val="0"/>
            <w:vAlign w:val="top"/>
          </w:tcPr>
          <w:p w14:paraId="355A8998">
            <w:pPr>
              <w:adjustRightInd w:val="0"/>
              <w:snapToGrid w:val="0"/>
              <w:rPr>
                <w:rFonts w:hint="eastAsia" w:ascii="仿宋_GB2312" w:eastAsia="仿宋_GB2312" w:cs="宋体"/>
                <w:color w:val="000000"/>
                <w:szCs w:val="21"/>
              </w:rPr>
            </w:pPr>
          </w:p>
        </w:tc>
      </w:tr>
      <w:tr w14:paraId="579E2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3B69FB86">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5871FD0B">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700C5B0B">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25</w:t>
            </w:r>
          </w:p>
        </w:tc>
        <w:tc>
          <w:tcPr>
            <w:tcW w:w="3099" w:type="dxa"/>
            <w:shd w:val="clear" w:color="auto" w:fill="FFFFFF"/>
            <w:noWrap w:val="0"/>
            <w:vAlign w:val="center"/>
          </w:tcPr>
          <w:p w14:paraId="38209BDF">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院长综合查询系统</w:t>
            </w:r>
          </w:p>
        </w:tc>
        <w:tc>
          <w:tcPr>
            <w:tcW w:w="1386" w:type="dxa"/>
            <w:shd w:val="clear" w:color="auto" w:fill="FFFFFF"/>
            <w:noWrap w:val="0"/>
            <w:vAlign w:val="top"/>
          </w:tcPr>
          <w:p w14:paraId="294ED407">
            <w:pPr>
              <w:adjustRightInd w:val="0"/>
              <w:snapToGrid w:val="0"/>
              <w:rPr>
                <w:rFonts w:hint="eastAsia" w:ascii="仿宋_GB2312" w:eastAsia="仿宋_GB2312" w:cs="宋体"/>
                <w:color w:val="000000"/>
                <w:szCs w:val="21"/>
              </w:rPr>
            </w:pPr>
          </w:p>
        </w:tc>
      </w:tr>
      <w:tr w14:paraId="5E09F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45A2B2A0">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320A5B2D">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5B699360">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26</w:t>
            </w:r>
          </w:p>
        </w:tc>
        <w:tc>
          <w:tcPr>
            <w:tcW w:w="3099" w:type="dxa"/>
            <w:shd w:val="clear" w:color="auto" w:fill="FFFFFF"/>
            <w:noWrap w:val="0"/>
            <w:vAlign w:val="center"/>
          </w:tcPr>
          <w:p w14:paraId="06012181">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医疗与财务统计查询系统</w:t>
            </w:r>
          </w:p>
        </w:tc>
        <w:tc>
          <w:tcPr>
            <w:tcW w:w="1386" w:type="dxa"/>
            <w:shd w:val="clear" w:color="auto" w:fill="FFFFFF"/>
            <w:noWrap w:val="0"/>
            <w:vAlign w:val="top"/>
          </w:tcPr>
          <w:p w14:paraId="17657EBD">
            <w:pPr>
              <w:adjustRightInd w:val="0"/>
              <w:snapToGrid w:val="0"/>
              <w:rPr>
                <w:rFonts w:hint="eastAsia" w:ascii="仿宋_GB2312" w:eastAsia="仿宋_GB2312" w:cs="宋体"/>
                <w:color w:val="000000"/>
                <w:szCs w:val="21"/>
              </w:rPr>
            </w:pPr>
          </w:p>
        </w:tc>
      </w:tr>
      <w:tr w14:paraId="3300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5FF86563">
            <w:pPr>
              <w:adjustRightInd w:val="0"/>
              <w:snapToGrid w:val="0"/>
              <w:rPr>
                <w:rFonts w:hint="eastAsia" w:ascii="仿宋_GB2312" w:eastAsia="仿宋_GB2312" w:cs="宋体"/>
                <w:b/>
                <w:bCs/>
                <w:color w:val="000000"/>
                <w:szCs w:val="21"/>
              </w:rPr>
            </w:pPr>
          </w:p>
        </w:tc>
        <w:tc>
          <w:tcPr>
            <w:tcW w:w="1591" w:type="dxa"/>
            <w:shd w:val="clear" w:color="auto" w:fill="FFFFFF"/>
            <w:noWrap w:val="0"/>
            <w:vAlign w:val="center"/>
          </w:tcPr>
          <w:p w14:paraId="0FEAFE92">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运维管理</w:t>
            </w:r>
          </w:p>
        </w:tc>
        <w:tc>
          <w:tcPr>
            <w:tcW w:w="728" w:type="dxa"/>
            <w:shd w:val="clear" w:color="auto" w:fill="FFFFFF"/>
            <w:noWrap w:val="0"/>
            <w:vAlign w:val="center"/>
          </w:tcPr>
          <w:p w14:paraId="63F001D8">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27</w:t>
            </w:r>
          </w:p>
        </w:tc>
        <w:tc>
          <w:tcPr>
            <w:tcW w:w="3099" w:type="dxa"/>
            <w:shd w:val="clear" w:color="auto" w:fill="FFFFFF"/>
            <w:noWrap w:val="0"/>
            <w:vAlign w:val="center"/>
          </w:tcPr>
          <w:p w14:paraId="584E930A">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运维管理系统</w:t>
            </w:r>
          </w:p>
        </w:tc>
        <w:tc>
          <w:tcPr>
            <w:tcW w:w="1386" w:type="dxa"/>
            <w:shd w:val="clear" w:color="auto" w:fill="FFFFFF"/>
            <w:noWrap w:val="0"/>
            <w:vAlign w:val="top"/>
          </w:tcPr>
          <w:p w14:paraId="73723B36">
            <w:pPr>
              <w:adjustRightInd w:val="0"/>
              <w:snapToGrid w:val="0"/>
              <w:rPr>
                <w:rFonts w:hint="eastAsia" w:ascii="仿宋_GB2312" w:eastAsia="仿宋_GB2312" w:cs="宋体"/>
                <w:color w:val="000000"/>
                <w:szCs w:val="21"/>
              </w:rPr>
            </w:pPr>
          </w:p>
        </w:tc>
      </w:tr>
      <w:tr w14:paraId="58A41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45ECB3C9">
            <w:pPr>
              <w:adjustRightInd w:val="0"/>
              <w:snapToGrid w:val="0"/>
              <w:rPr>
                <w:rFonts w:hint="eastAsia" w:ascii="仿宋_GB2312" w:eastAsia="仿宋_GB2312" w:cs="宋体"/>
                <w:b/>
                <w:bCs/>
                <w:color w:val="000000"/>
                <w:szCs w:val="21"/>
              </w:rPr>
            </w:pPr>
          </w:p>
        </w:tc>
        <w:tc>
          <w:tcPr>
            <w:tcW w:w="1591" w:type="dxa"/>
            <w:vMerge w:val="restart"/>
            <w:shd w:val="clear" w:color="auto" w:fill="FFFFFF"/>
            <w:noWrap w:val="0"/>
            <w:vAlign w:val="center"/>
          </w:tcPr>
          <w:p w14:paraId="2A0FFD8F">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外部接口</w:t>
            </w:r>
          </w:p>
        </w:tc>
        <w:tc>
          <w:tcPr>
            <w:tcW w:w="728" w:type="dxa"/>
            <w:shd w:val="clear" w:color="auto" w:fill="FFFFFF"/>
            <w:noWrap w:val="0"/>
            <w:vAlign w:val="center"/>
          </w:tcPr>
          <w:p w14:paraId="4CABA04C">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28</w:t>
            </w:r>
          </w:p>
        </w:tc>
        <w:tc>
          <w:tcPr>
            <w:tcW w:w="3099" w:type="dxa"/>
            <w:shd w:val="clear" w:color="auto" w:fill="FFFFFF"/>
            <w:noWrap w:val="0"/>
            <w:vAlign w:val="center"/>
          </w:tcPr>
          <w:p w14:paraId="64884060">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医保接口（阳江医保、新农合）</w:t>
            </w:r>
          </w:p>
        </w:tc>
        <w:tc>
          <w:tcPr>
            <w:tcW w:w="1386" w:type="dxa"/>
            <w:shd w:val="clear" w:color="auto" w:fill="FFFFFF"/>
            <w:noWrap w:val="0"/>
            <w:vAlign w:val="top"/>
          </w:tcPr>
          <w:p w14:paraId="56879302">
            <w:pPr>
              <w:adjustRightInd w:val="0"/>
              <w:snapToGrid w:val="0"/>
              <w:rPr>
                <w:rFonts w:hint="eastAsia" w:ascii="仿宋_GB2312" w:eastAsia="仿宋_GB2312" w:cs="宋体"/>
                <w:color w:val="000000"/>
                <w:szCs w:val="21"/>
              </w:rPr>
            </w:pPr>
          </w:p>
        </w:tc>
      </w:tr>
      <w:tr w14:paraId="3ABC3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299F8B0B">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404DCBBE">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61839E88">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29</w:t>
            </w:r>
          </w:p>
        </w:tc>
        <w:tc>
          <w:tcPr>
            <w:tcW w:w="3099" w:type="dxa"/>
            <w:shd w:val="clear" w:color="auto" w:fill="FFFFFF"/>
            <w:noWrap w:val="0"/>
            <w:vAlign w:val="center"/>
          </w:tcPr>
          <w:p w14:paraId="4A45BB57">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LIS接口</w:t>
            </w:r>
          </w:p>
        </w:tc>
        <w:tc>
          <w:tcPr>
            <w:tcW w:w="1386" w:type="dxa"/>
            <w:shd w:val="clear" w:color="auto" w:fill="FFFFFF"/>
            <w:noWrap w:val="0"/>
            <w:vAlign w:val="top"/>
          </w:tcPr>
          <w:p w14:paraId="3901EAAF">
            <w:pPr>
              <w:adjustRightInd w:val="0"/>
              <w:snapToGrid w:val="0"/>
              <w:rPr>
                <w:rFonts w:hint="eastAsia" w:ascii="仿宋_GB2312" w:eastAsia="仿宋_GB2312" w:cs="宋体"/>
                <w:color w:val="000000"/>
                <w:szCs w:val="21"/>
              </w:rPr>
            </w:pPr>
          </w:p>
        </w:tc>
      </w:tr>
      <w:tr w14:paraId="7B106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612BC853">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536F59F9">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4B2F75BD">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34</w:t>
            </w:r>
          </w:p>
        </w:tc>
        <w:tc>
          <w:tcPr>
            <w:tcW w:w="3099" w:type="dxa"/>
            <w:shd w:val="clear" w:color="auto" w:fill="FFFFFF"/>
            <w:noWrap w:val="0"/>
            <w:vAlign w:val="center"/>
          </w:tcPr>
          <w:p w14:paraId="67142FA2">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PACS接口改造</w:t>
            </w:r>
          </w:p>
        </w:tc>
        <w:tc>
          <w:tcPr>
            <w:tcW w:w="1386" w:type="dxa"/>
            <w:shd w:val="clear" w:color="auto" w:fill="FFFFFF"/>
            <w:noWrap w:val="0"/>
            <w:vAlign w:val="top"/>
          </w:tcPr>
          <w:p w14:paraId="0DBC2F51">
            <w:pPr>
              <w:adjustRightInd w:val="0"/>
              <w:snapToGrid w:val="0"/>
              <w:rPr>
                <w:rFonts w:hint="eastAsia" w:ascii="仿宋_GB2312" w:eastAsia="仿宋_GB2312" w:cs="宋体"/>
                <w:color w:val="000000"/>
                <w:szCs w:val="21"/>
              </w:rPr>
            </w:pPr>
          </w:p>
        </w:tc>
      </w:tr>
      <w:tr w14:paraId="0FBD0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7FC88453">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0A49B3DA">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1CBB0D6D">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36</w:t>
            </w:r>
          </w:p>
        </w:tc>
        <w:tc>
          <w:tcPr>
            <w:tcW w:w="3099" w:type="dxa"/>
            <w:shd w:val="clear" w:color="auto" w:fill="FFFFFF"/>
            <w:noWrap w:val="0"/>
            <w:vAlign w:val="center"/>
          </w:tcPr>
          <w:p w14:paraId="7E7363C3">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自助机接口</w:t>
            </w:r>
          </w:p>
        </w:tc>
        <w:tc>
          <w:tcPr>
            <w:tcW w:w="1386" w:type="dxa"/>
            <w:shd w:val="clear" w:color="auto" w:fill="FFFFFF"/>
            <w:noWrap w:val="0"/>
            <w:vAlign w:val="top"/>
          </w:tcPr>
          <w:p w14:paraId="46F6F2AD">
            <w:pPr>
              <w:adjustRightInd w:val="0"/>
              <w:snapToGrid w:val="0"/>
              <w:rPr>
                <w:rFonts w:hint="eastAsia" w:ascii="仿宋_GB2312" w:eastAsia="仿宋_GB2312" w:cs="宋体"/>
                <w:color w:val="000000"/>
                <w:szCs w:val="21"/>
              </w:rPr>
            </w:pPr>
          </w:p>
        </w:tc>
      </w:tr>
      <w:tr w14:paraId="33135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787003B6">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179AD37F">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421852B3">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37</w:t>
            </w:r>
          </w:p>
        </w:tc>
        <w:tc>
          <w:tcPr>
            <w:tcW w:w="3099" w:type="dxa"/>
            <w:shd w:val="clear" w:color="auto" w:fill="FFFFFF"/>
            <w:noWrap w:val="0"/>
            <w:vAlign w:val="center"/>
          </w:tcPr>
          <w:p w14:paraId="7F6F3C7F">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微信和支付宝接口</w:t>
            </w:r>
          </w:p>
        </w:tc>
        <w:tc>
          <w:tcPr>
            <w:tcW w:w="1386" w:type="dxa"/>
            <w:shd w:val="clear" w:color="auto" w:fill="FFFFFF"/>
            <w:noWrap w:val="0"/>
            <w:vAlign w:val="top"/>
          </w:tcPr>
          <w:p w14:paraId="4FC37D98">
            <w:pPr>
              <w:adjustRightInd w:val="0"/>
              <w:snapToGrid w:val="0"/>
              <w:rPr>
                <w:rFonts w:hint="eastAsia" w:ascii="仿宋_GB2312" w:eastAsia="仿宋_GB2312" w:cs="宋体"/>
                <w:color w:val="000000"/>
                <w:szCs w:val="21"/>
              </w:rPr>
            </w:pPr>
          </w:p>
        </w:tc>
      </w:tr>
      <w:tr w14:paraId="5DC51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30CF5EC9">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0806773C">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07FF546C">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38</w:t>
            </w:r>
          </w:p>
        </w:tc>
        <w:tc>
          <w:tcPr>
            <w:tcW w:w="3099" w:type="dxa"/>
            <w:shd w:val="clear" w:color="auto" w:fill="FFFFFF"/>
            <w:noWrap w:val="0"/>
            <w:vAlign w:val="center"/>
          </w:tcPr>
          <w:p w14:paraId="3BC47447">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病理系统接口</w:t>
            </w:r>
          </w:p>
        </w:tc>
        <w:tc>
          <w:tcPr>
            <w:tcW w:w="1386" w:type="dxa"/>
            <w:shd w:val="clear" w:color="auto" w:fill="FFFFFF"/>
            <w:noWrap w:val="0"/>
            <w:vAlign w:val="top"/>
          </w:tcPr>
          <w:p w14:paraId="1451BDA7">
            <w:pPr>
              <w:adjustRightInd w:val="0"/>
              <w:snapToGrid w:val="0"/>
              <w:rPr>
                <w:rFonts w:hint="eastAsia" w:ascii="仿宋_GB2312" w:eastAsia="仿宋_GB2312" w:cs="宋体"/>
                <w:color w:val="000000"/>
                <w:szCs w:val="21"/>
              </w:rPr>
            </w:pPr>
          </w:p>
        </w:tc>
      </w:tr>
      <w:tr w14:paraId="20851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36B66B78">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69AA28AC">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48F466D9">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40</w:t>
            </w:r>
          </w:p>
        </w:tc>
        <w:tc>
          <w:tcPr>
            <w:tcW w:w="3099" w:type="dxa"/>
            <w:shd w:val="clear" w:color="auto" w:fill="FFFFFF"/>
            <w:noWrap w:val="0"/>
            <w:vAlign w:val="center"/>
          </w:tcPr>
          <w:p w14:paraId="58C4E30A">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广东省病案系统接口</w:t>
            </w:r>
          </w:p>
        </w:tc>
        <w:tc>
          <w:tcPr>
            <w:tcW w:w="1386" w:type="dxa"/>
            <w:shd w:val="clear" w:color="auto" w:fill="FFFFFF"/>
            <w:noWrap w:val="0"/>
            <w:vAlign w:val="top"/>
          </w:tcPr>
          <w:p w14:paraId="01268172">
            <w:pPr>
              <w:adjustRightInd w:val="0"/>
              <w:snapToGrid w:val="0"/>
              <w:rPr>
                <w:rFonts w:hint="eastAsia" w:ascii="仿宋_GB2312" w:eastAsia="仿宋_GB2312" w:cs="宋体"/>
                <w:color w:val="000000"/>
                <w:szCs w:val="21"/>
              </w:rPr>
            </w:pPr>
          </w:p>
        </w:tc>
      </w:tr>
      <w:tr w14:paraId="63671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1E8E5BB6">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1DF26EB3">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44A751A4">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41</w:t>
            </w:r>
          </w:p>
        </w:tc>
        <w:tc>
          <w:tcPr>
            <w:tcW w:w="3099" w:type="dxa"/>
            <w:shd w:val="clear" w:color="auto" w:fill="FFFFFF"/>
            <w:noWrap w:val="0"/>
            <w:vAlign w:val="center"/>
          </w:tcPr>
          <w:p w14:paraId="29B5260E">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合理用药接口</w:t>
            </w:r>
          </w:p>
        </w:tc>
        <w:tc>
          <w:tcPr>
            <w:tcW w:w="1386" w:type="dxa"/>
            <w:shd w:val="clear" w:color="auto" w:fill="FFFFFF"/>
            <w:noWrap w:val="0"/>
            <w:vAlign w:val="top"/>
          </w:tcPr>
          <w:p w14:paraId="2B401A77">
            <w:pPr>
              <w:adjustRightInd w:val="0"/>
              <w:snapToGrid w:val="0"/>
              <w:rPr>
                <w:rFonts w:hint="eastAsia" w:ascii="仿宋_GB2312" w:eastAsia="仿宋_GB2312" w:cs="宋体"/>
                <w:color w:val="000000"/>
                <w:szCs w:val="21"/>
              </w:rPr>
            </w:pPr>
          </w:p>
        </w:tc>
      </w:tr>
      <w:tr w14:paraId="6D73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restart"/>
            <w:shd w:val="clear" w:color="auto" w:fill="FFFFFF"/>
            <w:noWrap w:val="0"/>
            <w:vAlign w:val="center"/>
          </w:tcPr>
          <w:p w14:paraId="03E773DE">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临床信息系统(CIS)</w:t>
            </w:r>
          </w:p>
        </w:tc>
        <w:tc>
          <w:tcPr>
            <w:tcW w:w="1591" w:type="dxa"/>
            <w:vMerge w:val="restart"/>
            <w:shd w:val="clear" w:color="auto" w:fill="FFFFFF"/>
            <w:noWrap w:val="0"/>
            <w:vAlign w:val="center"/>
          </w:tcPr>
          <w:p w14:paraId="38809103">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电子病历系统</w:t>
            </w:r>
          </w:p>
        </w:tc>
        <w:tc>
          <w:tcPr>
            <w:tcW w:w="728" w:type="dxa"/>
            <w:shd w:val="clear" w:color="auto" w:fill="FFFFFF"/>
            <w:noWrap w:val="0"/>
            <w:vAlign w:val="center"/>
          </w:tcPr>
          <w:p w14:paraId="6A034E81">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42</w:t>
            </w:r>
          </w:p>
        </w:tc>
        <w:tc>
          <w:tcPr>
            <w:tcW w:w="3099" w:type="dxa"/>
            <w:shd w:val="clear" w:color="auto" w:fill="FFFFFF"/>
            <w:noWrap w:val="0"/>
            <w:vAlign w:val="center"/>
          </w:tcPr>
          <w:p w14:paraId="0A1A6773">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住院医生病历系统</w:t>
            </w:r>
          </w:p>
        </w:tc>
        <w:tc>
          <w:tcPr>
            <w:tcW w:w="1386" w:type="dxa"/>
            <w:shd w:val="clear" w:color="auto" w:fill="FFFFFF"/>
            <w:noWrap w:val="0"/>
            <w:vAlign w:val="top"/>
          </w:tcPr>
          <w:p w14:paraId="6C21B3E0">
            <w:pPr>
              <w:adjustRightInd w:val="0"/>
              <w:snapToGrid w:val="0"/>
              <w:rPr>
                <w:rFonts w:hint="eastAsia" w:ascii="仿宋_GB2312" w:eastAsia="仿宋_GB2312" w:cs="宋体"/>
                <w:color w:val="000000"/>
                <w:szCs w:val="21"/>
              </w:rPr>
            </w:pPr>
          </w:p>
        </w:tc>
      </w:tr>
      <w:tr w14:paraId="2A34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3036F7B1">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1B685139">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01682AA6">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43</w:t>
            </w:r>
          </w:p>
        </w:tc>
        <w:tc>
          <w:tcPr>
            <w:tcW w:w="3099" w:type="dxa"/>
            <w:shd w:val="clear" w:color="auto" w:fill="FFFFFF"/>
            <w:noWrap w:val="0"/>
            <w:vAlign w:val="center"/>
          </w:tcPr>
          <w:p w14:paraId="017CDA57">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临床护理病历系统</w:t>
            </w:r>
          </w:p>
        </w:tc>
        <w:tc>
          <w:tcPr>
            <w:tcW w:w="1386" w:type="dxa"/>
            <w:shd w:val="clear" w:color="auto" w:fill="FFFFFF"/>
            <w:noWrap w:val="0"/>
            <w:vAlign w:val="top"/>
          </w:tcPr>
          <w:p w14:paraId="1B980D67">
            <w:pPr>
              <w:adjustRightInd w:val="0"/>
              <w:snapToGrid w:val="0"/>
              <w:rPr>
                <w:rFonts w:hint="eastAsia" w:ascii="仿宋_GB2312" w:eastAsia="仿宋_GB2312" w:cs="宋体"/>
                <w:color w:val="000000"/>
                <w:szCs w:val="21"/>
              </w:rPr>
            </w:pPr>
          </w:p>
        </w:tc>
      </w:tr>
      <w:tr w14:paraId="4EEAB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6B5B94C4">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612241BF">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4841BBAE">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44</w:t>
            </w:r>
          </w:p>
        </w:tc>
        <w:tc>
          <w:tcPr>
            <w:tcW w:w="3099" w:type="dxa"/>
            <w:shd w:val="clear" w:color="auto" w:fill="FFFFFF"/>
            <w:noWrap w:val="0"/>
            <w:vAlign w:val="center"/>
          </w:tcPr>
          <w:p w14:paraId="2B5FE2C9">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临床路径管理系统</w:t>
            </w:r>
          </w:p>
        </w:tc>
        <w:tc>
          <w:tcPr>
            <w:tcW w:w="1386" w:type="dxa"/>
            <w:shd w:val="clear" w:color="auto" w:fill="FFFFFF"/>
            <w:noWrap w:val="0"/>
            <w:vAlign w:val="top"/>
          </w:tcPr>
          <w:p w14:paraId="2F1E3567">
            <w:pPr>
              <w:adjustRightInd w:val="0"/>
              <w:snapToGrid w:val="0"/>
              <w:rPr>
                <w:rFonts w:hint="eastAsia" w:ascii="仿宋_GB2312" w:eastAsia="仿宋_GB2312" w:cs="宋体"/>
                <w:color w:val="000000"/>
                <w:szCs w:val="21"/>
              </w:rPr>
            </w:pPr>
          </w:p>
        </w:tc>
      </w:tr>
      <w:tr w14:paraId="4C1FC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366E8B15">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1C413797">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38802388">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45</w:t>
            </w:r>
          </w:p>
        </w:tc>
        <w:tc>
          <w:tcPr>
            <w:tcW w:w="3099" w:type="dxa"/>
            <w:shd w:val="clear" w:color="auto" w:fill="FFFFFF"/>
            <w:noWrap w:val="0"/>
            <w:vAlign w:val="center"/>
          </w:tcPr>
          <w:p w14:paraId="6A65D850">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病案管理系统</w:t>
            </w:r>
          </w:p>
        </w:tc>
        <w:tc>
          <w:tcPr>
            <w:tcW w:w="1386" w:type="dxa"/>
            <w:shd w:val="clear" w:color="auto" w:fill="FFFFFF"/>
            <w:noWrap w:val="0"/>
            <w:vAlign w:val="top"/>
          </w:tcPr>
          <w:p w14:paraId="14FAE720">
            <w:pPr>
              <w:adjustRightInd w:val="0"/>
              <w:snapToGrid w:val="0"/>
              <w:rPr>
                <w:rFonts w:hint="eastAsia" w:ascii="仿宋_GB2312" w:eastAsia="仿宋_GB2312" w:cs="宋体"/>
                <w:color w:val="000000"/>
                <w:szCs w:val="21"/>
              </w:rPr>
            </w:pPr>
          </w:p>
        </w:tc>
      </w:tr>
      <w:tr w14:paraId="29D3A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2EF9D3A8">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236622F5">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2E003DB3">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46</w:t>
            </w:r>
          </w:p>
        </w:tc>
        <w:tc>
          <w:tcPr>
            <w:tcW w:w="3099" w:type="dxa"/>
            <w:shd w:val="clear" w:color="auto" w:fill="FFFFFF"/>
            <w:noWrap w:val="0"/>
            <w:vAlign w:val="center"/>
          </w:tcPr>
          <w:p w14:paraId="4237CFB8">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病历质量控制系统</w:t>
            </w:r>
          </w:p>
        </w:tc>
        <w:tc>
          <w:tcPr>
            <w:tcW w:w="1386" w:type="dxa"/>
            <w:shd w:val="clear" w:color="auto" w:fill="FFFFFF"/>
            <w:noWrap w:val="0"/>
            <w:vAlign w:val="top"/>
          </w:tcPr>
          <w:p w14:paraId="3DAED368">
            <w:pPr>
              <w:adjustRightInd w:val="0"/>
              <w:snapToGrid w:val="0"/>
              <w:rPr>
                <w:rFonts w:hint="eastAsia" w:ascii="仿宋_GB2312" w:eastAsia="仿宋_GB2312" w:cs="宋体"/>
                <w:color w:val="000000"/>
                <w:szCs w:val="21"/>
              </w:rPr>
            </w:pPr>
          </w:p>
        </w:tc>
      </w:tr>
      <w:tr w14:paraId="32373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591AFABD">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055D5998">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1E339952">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47</w:t>
            </w:r>
          </w:p>
        </w:tc>
        <w:tc>
          <w:tcPr>
            <w:tcW w:w="3099" w:type="dxa"/>
            <w:shd w:val="clear" w:color="auto" w:fill="FFFFFF"/>
            <w:noWrap w:val="0"/>
            <w:vAlign w:val="center"/>
          </w:tcPr>
          <w:p w14:paraId="6AD5A203">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病历模版编辑器</w:t>
            </w:r>
          </w:p>
        </w:tc>
        <w:tc>
          <w:tcPr>
            <w:tcW w:w="1386" w:type="dxa"/>
            <w:shd w:val="clear" w:color="auto" w:fill="FFFFFF"/>
            <w:noWrap w:val="0"/>
            <w:vAlign w:val="top"/>
          </w:tcPr>
          <w:p w14:paraId="294E7AEC">
            <w:pPr>
              <w:adjustRightInd w:val="0"/>
              <w:snapToGrid w:val="0"/>
              <w:rPr>
                <w:rFonts w:hint="eastAsia" w:ascii="仿宋_GB2312" w:eastAsia="仿宋_GB2312" w:cs="宋体"/>
                <w:color w:val="000000"/>
                <w:szCs w:val="21"/>
              </w:rPr>
            </w:pPr>
          </w:p>
        </w:tc>
      </w:tr>
      <w:tr w14:paraId="0FBA8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1F1229EF">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4D14371E">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6E05E6DE">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48</w:t>
            </w:r>
          </w:p>
        </w:tc>
        <w:tc>
          <w:tcPr>
            <w:tcW w:w="3099" w:type="dxa"/>
            <w:shd w:val="clear" w:color="auto" w:fill="FFFFFF"/>
            <w:noWrap w:val="0"/>
            <w:vAlign w:val="center"/>
          </w:tcPr>
          <w:p w14:paraId="05E11539">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运维管理配置系统</w:t>
            </w:r>
          </w:p>
        </w:tc>
        <w:tc>
          <w:tcPr>
            <w:tcW w:w="1386" w:type="dxa"/>
            <w:shd w:val="clear" w:color="auto" w:fill="FFFFFF"/>
            <w:noWrap w:val="0"/>
            <w:vAlign w:val="top"/>
          </w:tcPr>
          <w:p w14:paraId="72DC0742">
            <w:pPr>
              <w:adjustRightInd w:val="0"/>
              <w:snapToGrid w:val="0"/>
              <w:rPr>
                <w:rFonts w:hint="eastAsia" w:ascii="仿宋_GB2312" w:eastAsia="仿宋_GB2312" w:cs="宋体"/>
                <w:color w:val="000000"/>
                <w:szCs w:val="21"/>
              </w:rPr>
            </w:pPr>
          </w:p>
        </w:tc>
      </w:tr>
      <w:tr w14:paraId="37EB6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5211148C">
            <w:pPr>
              <w:adjustRightInd w:val="0"/>
              <w:snapToGrid w:val="0"/>
              <w:rPr>
                <w:rFonts w:hint="eastAsia" w:ascii="仿宋_GB2312" w:eastAsia="仿宋_GB2312" w:cs="宋体"/>
                <w:b/>
                <w:bCs/>
                <w:color w:val="000000"/>
                <w:szCs w:val="21"/>
              </w:rPr>
            </w:pPr>
          </w:p>
        </w:tc>
        <w:tc>
          <w:tcPr>
            <w:tcW w:w="1591" w:type="dxa"/>
            <w:vMerge w:val="restart"/>
            <w:shd w:val="clear" w:color="auto" w:fill="FFFFFF"/>
            <w:noWrap w:val="0"/>
            <w:vAlign w:val="center"/>
          </w:tcPr>
          <w:p w14:paraId="6F14AFBA">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医技系统</w:t>
            </w:r>
          </w:p>
        </w:tc>
        <w:tc>
          <w:tcPr>
            <w:tcW w:w="728" w:type="dxa"/>
            <w:shd w:val="clear" w:color="auto" w:fill="FFFFFF"/>
            <w:noWrap w:val="0"/>
            <w:vAlign w:val="center"/>
          </w:tcPr>
          <w:p w14:paraId="7DD385E4">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49</w:t>
            </w:r>
          </w:p>
        </w:tc>
        <w:tc>
          <w:tcPr>
            <w:tcW w:w="3099" w:type="dxa"/>
            <w:shd w:val="clear" w:color="auto" w:fill="FFFFFF"/>
            <w:noWrap w:val="0"/>
            <w:vAlign w:val="center"/>
          </w:tcPr>
          <w:p w14:paraId="2AA242F9">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LIS检验系统</w:t>
            </w:r>
          </w:p>
        </w:tc>
        <w:tc>
          <w:tcPr>
            <w:tcW w:w="1386" w:type="dxa"/>
            <w:shd w:val="clear" w:color="auto" w:fill="FFFFFF"/>
            <w:noWrap w:val="0"/>
            <w:vAlign w:val="top"/>
          </w:tcPr>
          <w:p w14:paraId="1BD233F0">
            <w:pPr>
              <w:adjustRightInd w:val="0"/>
              <w:snapToGrid w:val="0"/>
              <w:rPr>
                <w:rFonts w:hint="eastAsia" w:ascii="仿宋_GB2312" w:eastAsia="仿宋_GB2312" w:cs="宋体"/>
                <w:color w:val="000000"/>
                <w:szCs w:val="21"/>
              </w:rPr>
            </w:pPr>
          </w:p>
        </w:tc>
      </w:tr>
      <w:tr w14:paraId="2EF67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3F03C3B0">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6D87B7C9">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2D44915C">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50</w:t>
            </w:r>
          </w:p>
        </w:tc>
        <w:tc>
          <w:tcPr>
            <w:tcW w:w="3099" w:type="dxa"/>
            <w:shd w:val="clear" w:color="auto" w:fill="FFFFFF"/>
            <w:noWrap w:val="0"/>
            <w:vAlign w:val="center"/>
          </w:tcPr>
          <w:p w14:paraId="4950733A">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输血管理系统</w:t>
            </w:r>
          </w:p>
        </w:tc>
        <w:tc>
          <w:tcPr>
            <w:tcW w:w="1386" w:type="dxa"/>
            <w:shd w:val="clear" w:color="auto" w:fill="FFFFFF"/>
            <w:noWrap w:val="0"/>
            <w:vAlign w:val="top"/>
          </w:tcPr>
          <w:p w14:paraId="3611CE2E">
            <w:pPr>
              <w:adjustRightInd w:val="0"/>
              <w:snapToGrid w:val="0"/>
              <w:rPr>
                <w:rFonts w:hint="eastAsia" w:ascii="仿宋_GB2312" w:eastAsia="仿宋_GB2312" w:cs="宋体"/>
                <w:color w:val="000000"/>
                <w:szCs w:val="21"/>
              </w:rPr>
            </w:pPr>
          </w:p>
        </w:tc>
      </w:tr>
      <w:tr w14:paraId="516EC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3E496DBC">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3CD1203A">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00E16D0D">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51</w:t>
            </w:r>
          </w:p>
        </w:tc>
        <w:tc>
          <w:tcPr>
            <w:tcW w:w="3099" w:type="dxa"/>
            <w:shd w:val="clear" w:color="auto" w:fill="FFFFFF"/>
            <w:noWrap w:val="0"/>
            <w:vAlign w:val="center"/>
          </w:tcPr>
          <w:p w14:paraId="7BDC08E6">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心电电生理管理系统</w:t>
            </w:r>
          </w:p>
        </w:tc>
        <w:tc>
          <w:tcPr>
            <w:tcW w:w="1386" w:type="dxa"/>
            <w:shd w:val="clear" w:color="auto" w:fill="FFFFFF"/>
            <w:noWrap w:val="0"/>
            <w:vAlign w:val="center"/>
          </w:tcPr>
          <w:p w14:paraId="4CA7AC5A">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联20台设备</w:t>
            </w:r>
          </w:p>
        </w:tc>
      </w:tr>
      <w:tr w14:paraId="5B9C3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689A9EAF">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007B6FD7">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28162A2E">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52</w:t>
            </w:r>
          </w:p>
        </w:tc>
        <w:tc>
          <w:tcPr>
            <w:tcW w:w="3099" w:type="dxa"/>
            <w:shd w:val="clear" w:color="auto" w:fill="FFFFFF"/>
            <w:noWrap w:val="0"/>
            <w:vAlign w:val="center"/>
          </w:tcPr>
          <w:p w14:paraId="5A5988D8">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医技预约系统</w:t>
            </w:r>
          </w:p>
        </w:tc>
        <w:tc>
          <w:tcPr>
            <w:tcW w:w="1386" w:type="dxa"/>
            <w:shd w:val="clear" w:color="auto" w:fill="FFFFFF"/>
            <w:noWrap w:val="0"/>
            <w:vAlign w:val="top"/>
          </w:tcPr>
          <w:p w14:paraId="2C6A2D8D">
            <w:pPr>
              <w:adjustRightInd w:val="0"/>
              <w:snapToGrid w:val="0"/>
              <w:rPr>
                <w:rFonts w:hint="eastAsia" w:ascii="仿宋_GB2312" w:eastAsia="仿宋_GB2312" w:cs="宋体"/>
                <w:color w:val="000000"/>
                <w:szCs w:val="21"/>
              </w:rPr>
            </w:pPr>
          </w:p>
        </w:tc>
      </w:tr>
      <w:tr w14:paraId="0E76A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29F4254C">
            <w:pPr>
              <w:adjustRightInd w:val="0"/>
              <w:snapToGrid w:val="0"/>
              <w:rPr>
                <w:rFonts w:hint="eastAsia" w:ascii="仿宋_GB2312" w:eastAsia="仿宋_GB2312" w:cs="宋体"/>
                <w:b/>
                <w:bCs/>
                <w:color w:val="000000"/>
                <w:szCs w:val="21"/>
              </w:rPr>
            </w:pPr>
          </w:p>
        </w:tc>
        <w:tc>
          <w:tcPr>
            <w:tcW w:w="1591" w:type="dxa"/>
            <w:vMerge w:val="restart"/>
            <w:shd w:val="clear" w:color="auto" w:fill="FFFFFF"/>
            <w:noWrap w:val="0"/>
            <w:vAlign w:val="center"/>
          </w:tcPr>
          <w:p w14:paraId="7D14EF6C">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医疗管理</w:t>
            </w:r>
          </w:p>
        </w:tc>
        <w:tc>
          <w:tcPr>
            <w:tcW w:w="728" w:type="dxa"/>
            <w:shd w:val="clear" w:color="auto" w:fill="FFFFFF"/>
            <w:noWrap w:val="0"/>
            <w:vAlign w:val="center"/>
          </w:tcPr>
          <w:p w14:paraId="74E7526F">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53</w:t>
            </w:r>
          </w:p>
        </w:tc>
        <w:tc>
          <w:tcPr>
            <w:tcW w:w="3099" w:type="dxa"/>
            <w:shd w:val="clear" w:color="auto" w:fill="FFFFFF"/>
            <w:noWrap w:val="0"/>
            <w:vAlign w:val="center"/>
          </w:tcPr>
          <w:p w14:paraId="7FCB0200">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院感管理系统</w:t>
            </w:r>
          </w:p>
        </w:tc>
        <w:tc>
          <w:tcPr>
            <w:tcW w:w="1386" w:type="dxa"/>
            <w:shd w:val="clear" w:color="auto" w:fill="FFFFFF"/>
            <w:noWrap w:val="0"/>
            <w:vAlign w:val="top"/>
          </w:tcPr>
          <w:p w14:paraId="7FCC9330">
            <w:pPr>
              <w:adjustRightInd w:val="0"/>
              <w:snapToGrid w:val="0"/>
              <w:rPr>
                <w:rFonts w:hint="eastAsia" w:ascii="仿宋_GB2312" w:eastAsia="仿宋_GB2312" w:cs="宋体"/>
                <w:color w:val="000000"/>
                <w:szCs w:val="21"/>
              </w:rPr>
            </w:pPr>
          </w:p>
        </w:tc>
      </w:tr>
      <w:tr w14:paraId="08EB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44BBE2FF">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112968A7">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29D9D72F">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54</w:t>
            </w:r>
          </w:p>
        </w:tc>
        <w:tc>
          <w:tcPr>
            <w:tcW w:w="3099" w:type="dxa"/>
            <w:shd w:val="clear" w:color="auto" w:fill="FFFFFF"/>
            <w:noWrap w:val="0"/>
            <w:vAlign w:val="center"/>
          </w:tcPr>
          <w:p w14:paraId="584295A8">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传染病上报系统</w:t>
            </w:r>
          </w:p>
        </w:tc>
        <w:tc>
          <w:tcPr>
            <w:tcW w:w="1386" w:type="dxa"/>
            <w:shd w:val="clear" w:color="auto" w:fill="FFFFFF"/>
            <w:noWrap w:val="0"/>
            <w:vAlign w:val="top"/>
          </w:tcPr>
          <w:p w14:paraId="71D8726F">
            <w:pPr>
              <w:adjustRightInd w:val="0"/>
              <w:snapToGrid w:val="0"/>
              <w:rPr>
                <w:rFonts w:hint="eastAsia" w:ascii="仿宋_GB2312" w:eastAsia="仿宋_GB2312" w:cs="宋体"/>
                <w:color w:val="000000"/>
                <w:szCs w:val="21"/>
              </w:rPr>
            </w:pPr>
          </w:p>
        </w:tc>
      </w:tr>
      <w:tr w14:paraId="40DBD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restart"/>
            <w:shd w:val="clear" w:color="auto" w:fill="FFFFFF"/>
            <w:noWrap w:val="0"/>
            <w:vAlign w:val="center"/>
          </w:tcPr>
          <w:p w14:paraId="375987C5">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运营管理系统（HRP）</w:t>
            </w:r>
          </w:p>
        </w:tc>
        <w:tc>
          <w:tcPr>
            <w:tcW w:w="1591" w:type="dxa"/>
            <w:vMerge w:val="restart"/>
            <w:shd w:val="clear" w:color="auto" w:fill="FFFFFF"/>
            <w:noWrap w:val="0"/>
            <w:vAlign w:val="center"/>
          </w:tcPr>
          <w:p w14:paraId="269C22C0">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资产管理</w:t>
            </w:r>
          </w:p>
        </w:tc>
        <w:tc>
          <w:tcPr>
            <w:tcW w:w="728" w:type="dxa"/>
            <w:shd w:val="clear" w:color="auto" w:fill="FFFFFF"/>
            <w:noWrap w:val="0"/>
            <w:vAlign w:val="center"/>
          </w:tcPr>
          <w:p w14:paraId="4FD6AA7F">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55</w:t>
            </w:r>
          </w:p>
        </w:tc>
        <w:tc>
          <w:tcPr>
            <w:tcW w:w="3099" w:type="dxa"/>
            <w:shd w:val="clear" w:color="auto" w:fill="FFFFFF"/>
            <w:noWrap w:val="0"/>
            <w:vAlign w:val="center"/>
          </w:tcPr>
          <w:p w14:paraId="6F077256">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设备资产管理系统</w:t>
            </w:r>
          </w:p>
        </w:tc>
        <w:tc>
          <w:tcPr>
            <w:tcW w:w="1386" w:type="dxa"/>
            <w:shd w:val="clear" w:color="auto" w:fill="FFFFFF"/>
            <w:noWrap w:val="0"/>
            <w:vAlign w:val="top"/>
          </w:tcPr>
          <w:p w14:paraId="7B41AF58">
            <w:pPr>
              <w:adjustRightInd w:val="0"/>
              <w:snapToGrid w:val="0"/>
              <w:rPr>
                <w:rFonts w:hint="eastAsia" w:ascii="仿宋_GB2312" w:eastAsia="仿宋_GB2312" w:cs="宋体"/>
                <w:color w:val="000000"/>
                <w:szCs w:val="21"/>
              </w:rPr>
            </w:pPr>
          </w:p>
        </w:tc>
      </w:tr>
      <w:tr w14:paraId="31E63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343DE182">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3B2807D1">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3B750BCD">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56</w:t>
            </w:r>
          </w:p>
        </w:tc>
        <w:tc>
          <w:tcPr>
            <w:tcW w:w="3099" w:type="dxa"/>
            <w:shd w:val="clear" w:color="auto" w:fill="FFFFFF"/>
            <w:noWrap w:val="0"/>
            <w:vAlign w:val="center"/>
          </w:tcPr>
          <w:p w14:paraId="1765903B">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供应室追溯管理系统</w:t>
            </w:r>
          </w:p>
        </w:tc>
        <w:tc>
          <w:tcPr>
            <w:tcW w:w="1386" w:type="dxa"/>
            <w:shd w:val="clear" w:color="auto" w:fill="FFFFFF"/>
            <w:noWrap w:val="0"/>
            <w:vAlign w:val="top"/>
          </w:tcPr>
          <w:p w14:paraId="30615A03">
            <w:pPr>
              <w:adjustRightInd w:val="0"/>
              <w:snapToGrid w:val="0"/>
              <w:rPr>
                <w:rFonts w:hint="eastAsia" w:ascii="仿宋_GB2312" w:eastAsia="仿宋_GB2312" w:cs="宋体"/>
                <w:color w:val="000000"/>
                <w:szCs w:val="21"/>
              </w:rPr>
            </w:pPr>
          </w:p>
        </w:tc>
      </w:tr>
      <w:tr w14:paraId="1D5BD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2C8D6FF2">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481F683A">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4B37AA04">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57</w:t>
            </w:r>
          </w:p>
        </w:tc>
        <w:tc>
          <w:tcPr>
            <w:tcW w:w="3099" w:type="dxa"/>
            <w:shd w:val="clear" w:color="auto" w:fill="FFFFFF"/>
            <w:noWrap w:val="0"/>
            <w:vAlign w:val="center"/>
          </w:tcPr>
          <w:p w14:paraId="77595EF0">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高值耗材管理系统</w:t>
            </w:r>
          </w:p>
        </w:tc>
        <w:tc>
          <w:tcPr>
            <w:tcW w:w="1386" w:type="dxa"/>
            <w:shd w:val="clear" w:color="auto" w:fill="FFFFFF"/>
            <w:noWrap w:val="0"/>
            <w:vAlign w:val="top"/>
          </w:tcPr>
          <w:p w14:paraId="615E32B4">
            <w:pPr>
              <w:adjustRightInd w:val="0"/>
              <w:snapToGrid w:val="0"/>
              <w:rPr>
                <w:rFonts w:hint="eastAsia" w:ascii="仿宋_GB2312" w:eastAsia="仿宋_GB2312" w:cs="宋体"/>
                <w:color w:val="000000"/>
                <w:szCs w:val="21"/>
              </w:rPr>
            </w:pPr>
          </w:p>
        </w:tc>
      </w:tr>
      <w:tr w14:paraId="744AB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76F67855">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23B4FE98">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6E92623C">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58</w:t>
            </w:r>
          </w:p>
        </w:tc>
        <w:tc>
          <w:tcPr>
            <w:tcW w:w="3099" w:type="dxa"/>
            <w:shd w:val="clear" w:color="auto" w:fill="FFFFFF"/>
            <w:noWrap w:val="0"/>
            <w:vAlign w:val="center"/>
          </w:tcPr>
          <w:p w14:paraId="218C3817">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物资库房管理系统</w:t>
            </w:r>
          </w:p>
        </w:tc>
        <w:tc>
          <w:tcPr>
            <w:tcW w:w="1386" w:type="dxa"/>
            <w:shd w:val="clear" w:color="auto" w:fill="FFFFFF"/>
            <w:noWrap w:val="0"/>
            <w:vAlign w:val="top"/>
          </w:tcPr>
          <w:p w14:paraId="1E00049A">
            <w:pPr>
              <w:adjustRightInd w:val="0"/>
              <w:snapToGrid w:val="0"/>
              <w:rPr>
                <w:rFonts w:hint="eastAsia" w:ascii="仿宋_GB2312" w:eastAsia="仿宋_GB2312" w:cs="宋体"/>
                <w:color w:val="000000"/>
                <w:szCs w:val="21"/>
              </w:rPr>
            </w:pPr>
          </w:p>
        </w:tc>
      </w:tr>
      <w:tr w14:paraId="7B246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restart"/>
            <w:shd w:val="clear" w:color="auto" w:fill="FFFFFF"/>
            <w:noWrap w:val="0"/>
            <w:vAlign w:val="center"/>
          </w:tcPr>
          <w:p w14:paraId="4C5C578D">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医院信息集成平台（HIP)</w:t>
            </w:r>
          </w:p>
        </w:tc>
        <w:tc>
          <w:tcPr>
            <w:tcW w:w="1591" w:type="dxa"/>
            <w:vMerge w:val="restart"/>
            <w:shd w:val="clear" w:color="auto" w:fill="FFFFFF"/>
            <w:noWrap w:val="0"/>
            <w:vAlign w:val="center"/>
          </w:tcPr>
          <w:p w14:paraId="37F0FC2B">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数据中心</w:t>
            </w:r>
          </w:p>
        </w:tc>
        <w:tc>
          <w:tcPr>
            <w:tcW w:w="728" w:type="dxa"/>
            <w:shd w:val="clear" w:color="auto" w:fill="FFFFFF"/>
            <w:noWrap w:val="0"/>
            <w:vAlign w:val="center"/>
          </w:tcPr>
          <w:p w14:paraId="0FC420BC">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59</w:t>
            </w:r>
          </w:p>
        </w:tc>
        <w:tc>
          <w:tcPr>
            <w:tcW w:w="3099" w:type="dxa"/>
            <w:shd w:val="clear" w:color="auto" w:fill="FFFFFF"/>
            <w:noWrap w:val="0"/>
            <w:vAlign w:val="center"/>
          </w:tcPr>
          <w:p w14:paraId="3B9FD26B">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标准基础数据库</w:t>
            </w:r>
          </w:p>
        </w:tc>
        <w:tc>
          <w:tcPr>
            <w:tcW w:w="1386" w:type="dxa"/>
            <w:shd w:val="clear" w:color="auto" w:fill="FFFFFF"/>
            <w:noWrap w:val="0"/>
            <w:vAlign w:val="top"/>
          </w:tcPr>
          <w:p w14:paraId="1BF5D1AD">
            <w:pPr>
              <w:adjustRightInd w:val="0"/>
              <w:snapToGrid w:val="0"/>
              <w:rPr>
                <w:rFonts w:hint="eastAsia" w:ascii="仿宋_GB2312" w:eastAsia="仿宋_GB2312" w:cs="宋体"/>
                <w:color w:val="000000"/>
                <w:szCs w:val="21"/>
              </w:rPr>
            </w:pPr>
          </w:p>
        </w:tc>
      </w:tr>
      <w:tr w14:paraId="310CA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3E8415F9">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1C8A89C2">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27ABADDC">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60</w:t>
            </w:r>
          </w:p>
        </w:tc>
        <w:tc>
          <w:tcPr>
            <w:tcW w:w="3099" w:type="dxa"/>
            <w:shd w:val="clear" w:color="auto" w:fill="FFFFFF"/>
            <w:noWrap w:val="0"/>
            <w:vAlign w:val="center"/>
          </w:tcPr>
          <w:p w14:paraId="61CE4DA1">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业务交换信息库</w:t>
            </w:r>
          </w:p>
        </w:tc>
        <w:tc>
          <w:tcPr>
            <w:tcW w:w="1386" w:type="dxa"/>
            <w:shd w:val="clear" w:color="auto" w:fill="FFFFFF"/>
            <w:noWrap w:val="0"/>
            <w:vAlign w:val="top"/>
          </w:tcPr>
          <w:p w14:paraId="3C559167">
            <w:pPr>
              <w:adjustRightInd w:val="0"/>
              <w:snapToGrid w:val="0"/>
              <w:rPr>
                <w:rFonts w:hint="eastAsia" w:ascii="仿宋_GB2312" w:eastAsia="仿宋_GB2312" w:cs="宋体"/>
                <w:color w:val="000000"/>
                <w:szCs w:val="21"/>
              </w:rPr>
            </w:pPr>
          </w:p>
        </w:tc>
      </w:tr>
      <w:tr w14:paraId="4A610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0B57AD18">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64B11005">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2B97E061">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61</w:t>
            </w:r>
          </w:p>
        </w:tc>
        <w:tc>
          <w:tcPr>
            <w:tcW w:w="3099" w:type="dxa"/>
            <w:shd w:val="clear" w:color="auto" w:fill="FFFFFF"/>
            <w:noWrap w:val="0"/>
            <w:vAlign w:val="center"/>
          </w:tcPr>
          <w:p w14:paraId="24CAFD55">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数据采集ETL工具</w:t>
            </w:r>
          </w:p>
        </w:tc>
        <w:tc>
          <w:tcPr>
            <w:tcW w:w="1386" w:type="dxa"/>
            <w:shd w:val="clear" w:color="auto" w:fill="FFFFFF"/>
            <w:noWrap w:val="0"/>
            <w:vAlign w:val="top"/>
          </w:tcPr>
          <w:p w14:paraId="5603BCDF">
            <w:pPr>
              <w:adjustRightInd w:val="0"/>
              <w:snapToGrid w:val="0"/>
              <w:rPr>
                <w:rFonts w:hint="eastAsia" w:ascii="仿宋_GB2312" w:eastAsia="仿宋_GB2312" w:cs="宋体"/>
                <w:color w:val="000000"/>
                <w:szCs w:val="21"/>
              </w:rPr>
            </w:pPr>
          </w:p>
        </w:tc>
      </w:tr>
      <w:tr w14:paraId="673FC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3C9E434B">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31FDD8B6">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6054DA72">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62</w:t>
            </w:r>
          </w:p>
        </w:tc>
        <w:tc>
          <w:tcPr>
            <w:tcW w:w="3099" w:type="dxa"/>
            <w:shd w:val="clear" w:color="auto" w:fill="FFFFFF"/>
            <w:noWrap w:val="0"/>
            <w:vAlign w:val="center"/>
          </w:tcPr>
          <w:p w14:paraId="106A532F">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临床文档库（CDR）</w:t>
            </w:r>
          </w:p>
        </w:tc>
        <w:tc>
          <w:tcPr>
            <w:tcW w:w="1386" w:type="dxa"/>
            <w:shd w:val="clear" w:color="auto" w:fill="FFFFFF"/>
            <w:noWrap w:val="0"/>
            <w:vAlign w:val="top"/>
          </w:tcPr>
          <w:p w14:paraId="57B0D17C">
            <w:pPr>
              <w:adjustRightInd w:val="0"/>
              <w:snapToGrid w:val="0"/>
              <w:rPr>
                <w:rFonts w:hint="eastAsia" w:ascii="仿宋_GB2312" w:eastAsia="仿宋_GB2312" w:cs="宋体"/>
                <w:color w:val="000000"/>
                <w:szCs w:val="21"/>
              </w:rPr>
            </w:pPr>
          </w:p>
        </w:tc>
      </w:tr>
      <w:tr w14:paraId="14194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5B7EDE36">
            <w:pPr>
              <w:adjustRightInd w:val="0"/>
              <w:snapToGrid w:val="0"/>
              <w:rPr>
                <w:rFonts w:hint="eastAsia" w:ascii="仿宋_GB2312" w:eastAsia="仿宋_GB2312" w:cs="宋体"/>
                <w:b/>
                <w:bCs/>
                <w:color w:val="000000"/>
                <w:szCs w:val="21"/>
              </w:rPr>
            </w:pPr>
          </w:p>
        </w:tc>
        <w:tc>
          <w:tcPr>
            <w:tcW w:w="1591" w:type="dxa"/>
            <w:vMerge w:val="restart"/>
            <w:shd w:val="clear" w:color="auto" w:fill="FFFFFF"/>
            <w:noWrap w:val="0"/>
            <w:vAlign w:val="center"/>
          </w:tcPr>
          <w:p w14:paraId="20B8D7DF">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数据总线</w:t>
            </w:r>
          </w:p>
        </w:tc>
        <w:tc>
          <w:tcPr>
            <w:tcW w:w="728" w:type="dxa"/>
            <w:shd w:val="clear" w:color="auto" w:fill="FFFFFF"/>
            <w:noWrap w:val="0"/>
            <w:vAlign w:val="center"/>
          </w:tcPr>
          <w:p w14:paraId="3E4AAAB5">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63</w:t>
            </w:r>
          </w:p>
        </w:tc>
        <w:tc>
          <w:tcPr>
            <w:tcW w:w="3099" w:type="dxa"/>
            <w:shd w:val="clear" w:color="auto" w:fill="FFFFFF"/>
            <w:noWrap w:val="0"/>
            <w:vAlign w:val="center"/>
          </w:tcPr>
          <w:p w14:paraId="2AEBB729">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HIS信息交换组件</w:t>
            </w:r>
          </w:p>
        </w:tc>
        <w:tc>
          <w:tcPr>
            <w:tcW w:w="1386" w:type="dxa"/>
            <w:shd w:val="clear" w:color="auto" w:fill="FFFFFF"/>
            <w:noWrap w:val="0"/>
            <w:vAlign w:val="top"/>
          </w:tcPr>
          <w:p w14:paraId="33055EC6">
            <w:pPr>
              <w:adjustRightInd w:val="0"/>
              <w:snapToGrid w:val="0"/>
              <w:rPr>
                <w:rFonts w:hint="eastAsia" w:ascii="仿宋_GB2312" w:eastAsia="仿宋_GB2312" w:cs="宋体"/>
                <w:color w:val="000000"/>
                <w:szCs w:val="21"/>
              </w:rPr>
            </w:pPr>
          </w:p>
        </w:tc>
      </w:tr>
      <w:tr w14:paraId="29F15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6B9BD93B">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69CA3357">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5AA9AF09">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64</w:t>
            </w:r>
          </w:p>
        </w:tc>
        <w:tc>
          <w:tcPr>
            <w:tcW w:w="3099" w:type="dxa"/>
            <w:shd w:val="clear" w:color="auto" w:fill="FFFFFF"/>
            <w:noWrap w:val="0"/>
            <w:vAlign w:val="center"/>
          </w:tcPr>
          <w:p w14:paraId="4DD1FBBF">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电子病历信息交换组件</w:t>
            </w:r>
          </w:p>
        </w:tc>
        <w:tc>
          <w:tcPr>
            <w:tcW w:w="1386" w:type="dxa"/>
            <w:shd w:val="clear" w:color="auto" w:fill="FFFFFF"/>
            <w:noWrap w:val="0"/>
            <w:vAlign w:val="top"/>
          </w:tcPr>
          <w:p w14:paraId="09ED3349">
            <w:pPr>
              <w:adjustRightInd w:val="0"/>
              <w:snapToGrid w:val="0"/>
              <w:rPr>
                <w:rFonts w:hint="eastAsia" w:ascii="仿宋_GB2312" w:eastAsia="仿宋_GB2312" w:cs="宋体"/>
                <w:color w:val="000000"/>
                <w:szCs w:val="21"/>
              </w:rPr>
            </w:pPr>
          </w:p>
        </w:tc>
      </w:tr>
      <w:tr w14:paraId="24EF4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4061AABA">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5202BB3C">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79C04682">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65</w:t>
            </w:r>
          </w:p>
        </w:tc>
        <w:tc>
          <w:tcPr>
            <w:tcW w:w="3099" w:type="dxa"/>
            <w:shd w:val="clear" w:color="auto" w:fill="FFFFFF"/>
            <w:noWrap w:val="0"/>
            <w:vAlign w:val="center"/>
          </w:tcPr>
          <w:p w14:paraId="652F7CD0">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检验（LIS）信息交换组件</w:t>
            </w:r>
          </w:p>
        </w:tc>
        <w:tc>
          <w:tcPr>
            <w:tcW w:w="1386" w:type="dxa"/>
            <w:shd w:val="clear" w:color="auto" w:fill="FFFFFF"/>
            <w:noWrap w:val="0"/>
            <w:vAlign w:val="top"/>
          </w:tcPr>
          <w:p w14:paraId="3CAC7107">
            <w:pPr>
              <w:adjustRightInd w:val="0"/>
              <w:snapToGrid w:val="0"/>
              <w:rPr>
                <w:rFonts w:hint="eastAsia" w:ascii="仿宋_GB2312" w:eastAsia="仿宋_GB2312" w:cs="宋体"/>
                <w:color w:val="000000"/>
                <w:szCs w:val="21"/>
              </w:rPr>
            </w:pPr>
          </w:p>
        </w:tc>
      </w:tr>
      <w:tr w14:paraId="6FED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553B7435">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189C0C48">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56F342B3">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66</w:t>
            </w:r>
          </w:p>
        </w:tc>
        <w:tc>
          <w:tcPr>
            <w:tcW w:w="3099" w:type="dxa"/>
            <w:shd w:val="clear" w:color="auto" w:fill="FFFFFF"/>
            <w:noWrap w:val="0"/>
            <w:vAlign w:val="center"/>
          </w:tcPr>
          <w:p w14:paraId="2AE5CDDC">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心电业务交换组件</w:t>
            </w:r>
          </w:p>
        </w:tc>
        <w:tc>
          <w:tcPr>
            <w:tcW w:w="1386" w:type="dxa"/>
            <w:shd w:val="clear" w:color="auto" w:fill="FFFFFF"/>
            <w:noWrap w:val="0"/>
            <w:vAlign w:val="top"/>
          </w:tcPr>
          <w:p w14:paraId="0515D27F">
            <w:pPr>
              <w:adjustRightInd w:val="0"/>
              <w:snapToGrid w:val="0"/>
              <w:rPr>
                <w:rFonts w:hint="eastAsia" w:ascii="仿宋_GB2312" w:eastAsia="仿宋_GB2312" w:cs="宋体"/>
                <w:color w:val="000000"/>
                <w:szCs w:val="21"/>
              </w:rPr>
            </w:pPr>
          </w:p>
        </w:tc>
      </w:tr>
      <w:tr w14:paraId="256C5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76205A77">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53E57DDA">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74A58211">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67</w:t>
            </w:r>
          </w:p>
        </w:tc>
        <w:tc>
          <w:tcPr>
            <w:tcW w:w="3099" w:type="dxa"/>
            <w:shd w:val="clear" w:color="auto" w:fill="FFFFFF"/>
            <w:noWrap w:val="0"/>
            <w:vAlign w:val="center"/>
          </w:tcPr>
          <w:p w14:paraId="1CFA8B7C">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输血管理信息组件</w:t>
            </w:r>
          </w:p>
        </w:tc>
        <w:tc>
          <w:tcPr>
            <w:tcW w:w="1386" w:type="dxa"/>
            <w:shd w:val="clear" w:color="auto" w:fill="FFFFFF"/>
            <w:noWrap w:val="0"/>
            <w:vAlign w:val="top"/>
          </w:tcPr>
          <w:p w14:paraId="6E4CC6CF">
            <w:pPr>
              <w:adjustRightInd w:val="0"/>
              <w:snapToGrid w:val="0"/>
              <w:rPr>
                <w:rFonts w:hint="eastAsia" w:ascii="仿宋_GB2312" w:eastAsia="仿宋_GB2312" w:cs="宋体"/>
                <w:color w:val="000000"/>
                <w:szCs w:val="21"/>
              </w:rPr>
            </w:pPr>
          </w:p>
        </w:tc>
      </w:tr>
      <w:tr w14:paraId="1F98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3B6E9C0F">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3EB36EB7">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295E23C8">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68</w:t>
            </w:r>
          </w:p>
        </w:tc>
        <w:tc>
          <w:tcPr>
            <w:tcW w:w="3099" w:type="dxa"/>
            <w:shd w:val="clear" w:color="auto" w:fill="FFFFFF"/>
            <w:noWrap w:val="0"/>
            <w:vAlign w:val="center"/>
          </w:tcPr>
          <w:p w14:paraId="3CE1C28E">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B超管理信息组件</w:t>
            </w:r>
          </w:p>
        </w:tc>
        <w:tc>
          <w:tcPr>
            <w:tcW w:w="1386" w:type="dxa"/>
            <w:shd w:val="clear" w:color="auto" w:fill="FFFFFF"/>
            <w:noWrap w:val="0"/>
            <w:vAlign w:val="top"/>
          </w:tcPr>
          <w:p w14:paraId="4C054AC0">
            <w:pPr>
              <w:adjustRightInd w:val="0"/>
              <w:snapToGrid w:val="0"/>
              <w:rPr>
                <w:rFonts w:hint="eastAsia" w:ascii="仿宋_GB2312" w:eastAsia="仿宋_GB2312" w:cs="宋体"/>
                <w:color w:val="000000"/>
                <w:szCs w:val="21"/>
              </w:rPr>
            </w:pPr>
          </w:p>
        </w:tc>
      </w:tr>
      <w:tr w14:paraId="56B40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5B425BDE">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6F347DF0">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610A831B">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69</w:t>
            </w:r>
          </w:p>
        </w:tc>
        <w:tc>
          <w:tcPr>
            <w:tcW w:w="3099" w:type="dxa"/>
            <w:shd w:val="clear" w:color="auto" w:fill="FFFFFF"/>
            <w:noWrap w:val="0"/>
            <w:vAlign w:val="center"/>
          </w:tcPr>
          <w:p w14:paraId="0A52F21F">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检查（PACS）信息交换组件</w:t>
            </w:r>
          </w:p>
        </w:tc>
        <w:tc>
          <w:tcPr>
            <w:tcW w:w="1386" w:type="dxa"/>
            <w:shd w:val="clear" w:color="auto" w:fill="FFFFFF"/>
            <w:noWrap w:val="0"/>
            <w:vAlign w:val="top"/>
          </w:tcPr>
          <w:p w14:paraId="426ED039">
            <w:pPr>
              <w:adjustRightInd w:val="0"/>
              <w:snapToGrid w:val="0"/>
              <w:rPr>
                <w:rFonts w:hint="eastAsia" w:ascii="仿宋_GB2312" w:eastAsia="仿宋_GB2312" w:cs="宋体"/>
                <w:color w:val="000000"/>
                <w:szCs w:val="21"/>
              </w:rPr>
            </w:pPr>
          </w:p>
        </w:tc>
      </w:tr>
      <w:tr w14:paraId="4C4FB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016234E9">
            <w:pPr>
              <w:adjustRightInd w:val="0"/>
              <w:snapToGrid w:val="0"/>
              <w:rPr>
                <w:rFonts w:hint="eastAsia" w:ascii="仿宋_GB2312" w:eastAsia="仿宋_GB2312" w:cs="宋体"/>
                <w:b/>
                <w:bCs/>
                <w:color w:val="000000"/>
                <w:szCs w:val="21"/>
              </w:rPr>
            </w:pPr>
          </w:p>
        </w:tc>
        <w:tc>
          <w:tcPr>
            <w:tcW w:w="1591" w:type="dxa"/>
            <w:vMerge w:val="restart"/>
            <w:shd w:val="clear" w:color="auto" w:fill="FFFFFF"/>
            <w:noWrap w:val="0"/>
            <w:vAlign w:val="center"/>
          </w:tcPr>
          <w:p w14:paraId="66EB5433">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基础服务</w:t>
            </w:r>
          </w:p>
        </w:tc>
        <w:tc>
          <w:tcPr>
            <w:tcW w:w="728" w:type="dxa"/>
            <w:shd w:val="clear" w:color="auto" w:fill="FFFFFF"/>
            <w:noWrap w:val="0"/>
            <w:vAlign w:val="center"/>
          </w:tcPr>
          <w:p w14:paraId="5FDCC685">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70</w:t>
            </w:r>
          </w:p>
        </w:tc>
        <w:tc>
          <w:tcPr>
            <w:tcW w:w="3099" w:type="dxa"/>
            <w:shd w:val="clear" w:color="auto" w:fill="FFFFFF"/>
            <w:noWrap w:val="0"/>
            <w:vAlign w:val="center"/>
          </w:tcPr>
          <w:p w14:paraId="43C137FF">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主索引服务</w:t>
            </w:r>
          </w:p>
        </w:tc>
        <w:tc>
          <w:tcPr>
            <w:tcW w:w="1386" w:type="dxa"/>
            <w:shd w:val="clear" w:color="auto" w:fill="FFFFFF"/>
            <w:noWrap w:val="0"/>
            <w:vAlign w:val="top"/>
          </w:tcPr>
          <w:p w14:paraId="42D6FED1">
            <w:pPr>
              <w:adjustRightInd w:val="0"/>
              <w:snapToGrid w:val="0"/>
              <w:rPr>
                <w:rFonts w:hint="eastAsia" w:ascii="仿宋_GB2312" w:eastAsia="仿宋_GB2312" w:cs="宋体"/>
                <w:color w:val="000000"/>
                <w:szCs w:val="21"/>
              </w:rPr>
            </w:pPr>
          </w:p>
        </w:tc>
      </w:tr>
      <w:tr w14:paraId="0B79C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7216909F">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752F597B">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465D8163">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71</w:t>
            </w:r>
          </w:p>
        </w:tc>
        <w:tc>
          <w:tcPr>
            <w:tcW w:w="3099" w:type="dxa"/>
            <w:shd w:val="clear" w:color="auto" w:fill="FFFFFF"/>
            <w:noWrap w:val="0"/>
            <w:vAlign w:val="center"/>
          </w:tcPr>
          <w:p w14:paraId="1C724BEB">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存储服务</w:t>
            </w:r>
          </w:p>
        </w:tc>
        <w:tc>
          <w:tcPr>
            <w:tcW w:w="1386" w:type="dxa"/>
            <w:shd w:val="clear" w:color="auto" w:fill="FFFFFF"/>
            <w:noWrap w:val="0"/>
            <w:vAlign w:val="top"/>
          </w:tcPr>
          <w:p w14:paraId="1B97077E">
            <w:pPr>
              <w:adjustRightInd w:val="0"/>
              <w:snapToGrid w:val="0"/>
              <w:rPr>
                <w:rFonts w:hint="eastAsia" w:ascii="仿宋_GB2312" w:eastAsia="仿宋_GB2312" w:cs="宋体"/>
                <w:color w:val="000000"/>
                <w:szCs w:val="21"/>
              </w:rPr>
            </w:pPr>
          </w:p>
        </w:tc>
      </w:tr>
      <w:tr w14:paraId="5B6D1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3F71B38B">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41B8ED33">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67B1E933">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72</w:t>
            </w:r>
          </w:p>
        </w:tc>
        <w:tc>
          <w:tcPr>
            <w:tcW w:w="3099" w:type="dxa"/>
            <w:shd w:val="clear" w:color="auto" w:fill="FFFFFF"/>
            <w:noWrap w:val="0"/>
            <w:vAlign w:val="center"/>
          </w:tcPr>
          <w:p w14:paraId="72BAE5AC">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注册服务</w:t>
            </w:r>
          </w:p>
        </w:tc>
        <w:tc>
          <w:tcPr>
            <w:tcW w:w="1386" w:type="dxa"/>
            <w:shd w:val="clear" w:color="auto" w:fill="FFFFFF"/>
            <w:noWrap w:val="0"/>
            <w:vAlign w:val="top"/>
          </w:tcPr>
          <w:p w14:paraId="73078DCC">
            <w:pPr>
              <w:adjustRightInd w:val="0"/>
              <w:snapToGrid w:val="0"/>
              <w:rPr>
                <w:rFonts w:hint="eastAsia" w:ascii="仿宋_GB2312" w:eastAsia="仿宋_GB2312" w:cs="宋体"/>
                <w:color w:val="000000"/>
                <w:szCs w:val="21"/>
              </w:rPr>
            </w:pPr>
          </w:p>
        </w:tc>
      </w:tr>
      <w:tr w14:paraId="0A916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45A9D322">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57709EA1">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53F52775">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73</w:t>
            </w:r>
          </w:p>
        </w:tc>
        <w:tc>
          <w:tcPr>
            <w:tcW w:w="3099" w:type="dxa"/>
            <w:shd w:val="clear" w:color="auto" w:fill="FFFFFF"/>
            <w:noWrap w:val="0"/>
            <w:vAlign w:val="center"/>
          </w:tcPr>
          <w:p w14:paraId="244752CB">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字典同步更新引擎</w:t>
            </w:r>
          </w:p>
        </w:tc>
        <w:tc>
          <w:tcPr>
            <w:tcW w:w="1386" w:type="dxa"/>
            <w:shd w:val="clear" w:color="auto" w:fill="FFFFFF"/>
            <w:noWrap w:val="0"/>
            <w:vAlign w:val="top"/>
          </w:tcPr>
          <w:p w14:paraId="28125172">
            <w:pPr>
              <w:adjustRightInd w:val="0"/>
              <w:snapToGrid w:val="0"/>
              <w:rPr>
                <w:rFonts w:hint="eastAsia" w:ascii="仿宋_GB2312" w:eastAsia="仿宋_GB2312" w:cs="宋体"/>
                <w:color w:val="000000"/>
                <w:szCs w:val="21"/>
              </w:rPr>
            </w:pPr>
          </w:p>
        </w:tc>
      </w:tr>
      <w:tr w14:paraId="0D7BC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3A5BBF32">
            <w:pPr>
              <w:adjustRightInd w:val="0"/>
              <w:snapToGrid w:val="0"/>
              <w:rPr>
                <w:rFonts w:hint="eastAsia" w:ascii="仿宋_GB2312" w:eastAsia="仿宋_GB2312" w:cs="宋体"/>
                <w:b/>
                <w:bCs/>
                <w:color w:val="000000"/>
                <w:szCs w:val="21"/>
              </w:rPr>
            </w:pPr>
          </w:p>
        </w:tc>
        <w:tc>
          <w:tcPr>
            <w:tcW w:w="1591" w:type="dxa"/>
            <w:shd w:val="clear" w:color="auto" w:fill="FFFFFF"/>
            <w:noWrap w:val="0"/>
            <w:vAlign w:val="center"/>
          </w:tcPr>
          <w:p w14:paraId="26707D64">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业务应用</w:t>
            </w:r>
          </w:p>
        </w:tc>
        <w:tc>
          <w:tcPr>
            <w:tcW w:w="728" w:type="dxa"/>
            <w:shd w:val="clear" w:color="auto" w:fill="FFFFFF"/>
            <w:noWrap w:val="0"/>
            <w:vAlign w:val="center"/>
          </w:tcPr>
          <w:p w14:paraId="3DF02C94">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74</w:t>
            </w:r>
          </w:p>
        </w:tc>
        <w:tc>
          <w:tcPr>
            <w:tcW w:w="3099" w:type="dxa"/>
            <w:shd w:val="clear" w:color="auto" w:fill="FFFFFF"/>
            <w:noWrap w:val="0"/>
            <w:vAlign w:val="center"/>
          </w:tcPr>
          <w:p w14:paraId="23027ECE">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病人信息集成视图</w:t>
            </w:r>
          </w:p>
        </w:tc>
        <w:tc>
          <w:tcPr>
            <w:tcW w:w="1386" w:type="dxa"/>
            <w:shd w:val="clear" w:color="auto" w:fill="FFFFFF"/>
            <w:noWrap w:val="0"/>
            <w:vAlign w:val="top"/>
          </w:tcPr>
          <w:p w14:paraId="146EFB03">
            <w:pPr>
              <w:adjustRightInd w:val="0"/>
              <w:snapToGrid w:val="0"/>
              <w:rPr>
                <w:rFonts w:hint="eastAsia" w:ascii="仿宋_GB2312" w:eastAsia="仿宋_GB2312" w:cs="宋体"/>
                <w:color w:val="000000"/>
                <w:szCs w:val="21"/>
              </w:rPr>
            </w:pPr>
          </w:p>
        </w:tc>
      </w:tr>
      <w:tr w14:paraId="577B7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59334504">
            <w:pPr>
              <w:adjustRightInd w:val="0"/>
              <w:snapToGrid w:val="0"/>
              <w:rPr>
                <w:rFonts w:hint="eastAsia" w:ascii="仿宋_GB2312" w:eastAsia="仿宋_GB2312" w:cs="宋体"/>
                <w:b/>
                <w:bCs/>
                <w:color w:val="000000"/>
                <w:szCs w:val="21"/>
              </w:rPr>
            </w:pPr>
          </w:p>
        </w:tc>
        <w:tc>
          <w:tcPr>
            <w:tcW w:w="1591" w:type="dxa"/>
            <w:vMerge w:val="restart"/>
            <w:shd w:val="clear" w:color="auto" w:fill="FFFFFF"/>
            <w:noWrap w:val="0"/>
            <w:vAlign w:val="center"/>
          </w:tcPr>
          <w:p w14:paraId="53B6ABCB">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消息中间件</w:t>
            </w:r>
          </w:p>
        </w:tc>
        <w:tc>
          <w:tcPr>
            <w:tcW w:w="728" w:type="dxa"/>
            <w:shd w:val="clear" w:color="auto" w:fill="FFFFFF"/>
            <w:noWrap w:val="0"/>
            <w:vAlign w:val="center"/>
          </w:tcPr>
          <w:p w14:paraId="024013E7">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75</w:t>
            </w:r>
          </w:p>
        </w:tc>
        <w:tc>
          <w:tcPr>
            <w:tcW w:w="3099" w:type="dxa"/>
            <w:shd w:val="clear" w:color="auto" w:fill="FFFFFF"/>
            <w:noWrap w:val="0"/>
            <w:vAlign w:val="center"/>
          </w:tcPr>
          <w:p w14:paraId="0359D39B">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接口适配器</w:t>
            </w:r>
          </w:p>
        </w:tc>
        <w:tc>
          <w:tcPr>
            <w:tcW w:w="1386" w:type="dxa"/>
            <w:shd w:val="clear" w:color="auto" w:fill="FFFFFF"/>
            <w:noWrap w:val="0"/>
            <w:vAlign w:val="top"/>
          </w:tcPr>
          <w:p w14:paraId="27942E36">
            <w:pPr>
              <w:adjustRightInd w:val="0"/>
              <w:snapToGrid w:val="0"/>
              <w:rPr>
                <w:rFonts w:hint="eastAsia" w:ascii="仿宋_GB2312" w:eastAsia="仿宋_GB2312" w:cs="宋体"/>
                <w:color w:val="000000"/>
                <w:szCs w:val="21"/>
              </w:rPr>
            </w:pPr>
          </w:p>
        </w:tc>
      </w:tr>
      <w:tr w14:paraId="60CE2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011A8A32">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2DF22B5C">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694E3ED7">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76</w:t>
            </w:r>
          </w:p>
        </w:tc>
        <w:tc>
          <w:tcPr>
            <w:tcW w:w="3099" w:type="dxa"/>
            <w:shd w:val="clear" w:color="auto" w:fill="FFFFFF"/>
            <w:noWrap w:val="0"/>
            <w:vAlign w:val="center"/>
          </w:tcPr>
          <w:p w14:paraId="390ADF98">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HL7标准引擎</w:t>
            </w:r>
          </w:p>
        </w:tc>
        <w:tc>
          <w:tcPr>
            <w:tcW w:w="1386" w:type="dxa"/>
            <w:shd w:val="clear" w:color="auto" w:fill="FFFFFF"/>
            <w:noWrap w:val="0"/>
            <w:vAlign w:val="top"/>
          </w:tcPr>
          <w:p w14:paraId="18405C6C">
            <w:pPr>
              <w:adjustRightInd w:val="0"/>
              <w:snapToGrid w:val="0"/>
              <w:rPr>
                <w:rFonts w:hint="eastAsia" w:ascii="仿宋_GB2312" w:eastAsia="仿宋_GB2312" w:cs="宋体"/>
                <w:color w:val="000000"/>
                <w:szCs w:val="21"/>
              </w:rPr>
            </w:pPr>
          </w:p>
        </w:tc>
      </w:tr>
      <w:tr w14:paraId="39EF4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6B0B0517">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161E206E">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28CB5200">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77</w:t>
            </w:r>
          </w:p>
        </w:tc>
        <w:tc>
          <w:tcPr>
            <w:tcW w:w="3099" w:type="dxa"/>
            <w:shd w:val="clear" w:color="auto" w:fill="FFFFFF"/>
            <w:noWrap w:val="0"/>
            <w:vAlign w:val="center"/>
          </w:tcPr>
          <w:p w14:paraId="4270076F">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部署授权管理</w:t>
            </w:r>
          </w:p>
        </w:tc>
        <w:tc>
          <w:tcPr>
            <w:tcW w:w="1386" w:type="dxa"/>
            <w:shd w:val="clear" w:color="auto" w:fill="FFFFFF"/>
            <w:noWrap w:val="0"/>
            <w:vAlign w:val="top"/>
          </w:tcPr>
          <w:p w14:paraId="26905C3F">
            <w:pPr>
              <w:adjustRightInd w:val="0"/>
              <w:snapToGrid w:val="0"/>
              <w:rPr>
                <w:rFonts w:hint="eastAsia" w:ascii="仿宋_GB2312" w:eastAsia="仿宋_GB2312" w:cs="宋体"/>
                <w:color w:val="000000"/>
                <w:szCs w:val="21"/>
              </w:rPr>
            </w:pPr>
          </w:p>
        </w:tc>
      </w:tr>
      <w:tr w14:paraId="6653B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05FB194E">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4CD45002">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39D361C1">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78</w:t>
            </w:r>
          </w:p>
        </w:tc>
        <w:tc>
          <w:tcPr>
            <w:tcW w:w="3099" w:type="dxa"/>
            <w:shd w:val="clear" w:color="auto" w:fill="FFFFFF"/>
            <w:noWrap w:val="0"/>
            <w:vAlign w:val="center"/>
          </w:tcPr>
          <w:p w14:paraId="09B35779">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数据转换路由</w:t>
            </w:r>
          </w:p>
        </w:tc>
        <w:tc>
          <w:tcPr>
            <w:tcW w:w="1386" w:type="dxa"/>
            <w:shd w:val="clear" w:color="auto" w:fill="FFFFFF"/>
            <w:noWrap w:val="0"/>
            <w:vAlign w:val="top"/>
          </w:tcPr>
          <w:p w14:paraId="5D3D432F">
            <w:pPr>
              <w:adjustRightInd w:val="0"/>
              <w:snapToGrid w:val="0"/>
              <w:rPr>
                <w:rFonts w:hint="eastAsia" w:ascii="仿宋_GB2312" w:eastAsia="仿宋_GB2312" w:cs="宋体"/>
                <w:color w:val="000000"/>
                <w:szCs w:val="21"/>
              </w:rPr>
            </w:pPr>
          </w:p>
        </w:tc>
      </w:tr>
      <w:tr w14:paraId="46F47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63B5E329">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40BAC6C0">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6AD3E54F">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79</w:t>
            </w:r>
          </w:p>
        </w:tc>
        <w:tc>
          <w:tcPr>
            <w:tcW w:w="3099" w:type="dxa"/>
            <w:shd w:val="clear" w:color="auto" w:fill="FFFFFF"/>
            <w:noWrap w:val="0"/>
            <w:vAlign w:val="center"/>
          </w:tcPr>
          <w:p w14:paraId="7230E7A8">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开发集成环境</w:t>
            </w:r>
          </w:p>
        </w:tc>
        <w:tc>
          <w:tcPr>
            <w:tcW w:w="1386" w:type="dxa"/>
            <w:shd w:val="clear" w:color="auto" w:fill="FFFFFF"/>
            <w:noWrap w:val="0"/>
            <w:vAlign w:val="top"/>
          </w:tcPr>
          <w:p w14:paraId="1D918F73">
            <w:pPr>
              <w:adjustRightInd w:val="0"/>
              <w:snapToGrid w:val="0"/>
              <w:rPr>
                <w:rFonts w:hint="eastAsia" w:ascii="仿宋_GB2312" w:eastAsia="仿宋_GB2312" w:cs="宋体"/>
                <w:color w:val="000000"/>
                <w:szCs w:val="21"/>
              </w:rPr>
            </w:pPr>
          </w:p>
        </w:tc>
      </w:tr>
      <w:tr w14:paraId="3077C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46D4AB9F">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751243EE">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71030372">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80</w:t>
            </w:r>
          </w:p>
        </w:tc>
        <w:tc>
          <w:tcPr>
            <w:tcW w:w="3099" w:type="dxa"/>
            <w:shd w:val="clear" w:color="auto" w:fill="FFFFFF"/>
            <w:noWrap w:val="0"/>
            <w:vAlign w:val="center"/>
          </w:tcPr>
          <w:p w14:paraId="61FB995B">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在线监控与消息通知</w:t>
            </w:r>
          </w:p>
        </w:tc>
        <w:tc>
          <w:tcPr>
            <w:tcW w:w="1386" w:type="dxa"/>
            <w:shd w:val="clear" w:color="auto" w:fill="FFFFFF"/>
            <w:noWrap w:val="0"/>
            <w:vAlign w:val="top"/>
          </w:tcPr>
          <w:p w14:paraId="2F7D33B7">
            <w:pPr>
              <w:adjustRightInd w:val="0"/>
              <w:snapToGrid w:val="0"/>
              <w:rPr>
                <w:rFonts w:hint="eastAsia" w:ascii="仿宋_GB2312" w:eastAsia="仿宋_GB2312" w:cs="宋体"/>
                <w:color w:val="000000"/>
                <w:szCs w:val="21"/>
              </w:rPr>
            </w:pPr>
          </w:p>
        </w:tc>
      </w:tr>
      <w:tr w14:paraId="25C81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2EA67BD0">
            <w:pPr>
              <w:adjustRightInd w:val="0"/>
              <w:snapToGrid w:val="0"/>
              <w:rPr>
                <w:rFonts w:hint="eastAsia" w:ascii="仿宋_GB2312" w:eastAsia="仿宋_GB2312" w:cs="宋体"/>
                <w:b/>
                <w:bCs/>
                <w:color w:val="000000"/>
                <w:szCs w:val="21"/>
              </w:rPr>
            </w:pPr>
          </w:p>
        </w:tc>
        <w:tc>
          <w:tcPr>
            <w:tcW w:w="1591" w:type="dxa"/>
            <w:vMerge w:val="restart"/>
            <w:shd w:val="clear" w:color="auto" w:fill="FFFFFF"/>
            <w:noWrap w:val="0"/>
            <w:vAlign w:val="center"/>
          </w:tcPr>
          <w:p w14:paraId="4ADDA9A1">
            <w:pPr>
              <w:adjustRightInd w:val="0"/>
              <w:snapToGrid w:val="0"/>
              <w:rPr>
                <w:rFonts w:hint="eastAsia" w:ascii="仿宋_GB2312" w:eastAsia="仿宋_GB2312" w:cs="宋体"/>
                <w:b/>
                <w:bCs/>
                <w:color w:val="000000"/>
                <w:szCs w:val="21"/>
              </w:rPr>
            </w:pPr>
            <w:r>
              <w:rPr>
                <w:rFonts w:hint="eastAsia" w:ascii="仿宋_GB2312" w:eastAsia="仿宋_GB2312" w:cs="宋体"/>
                <w:b/>
                <w:bCs/>
                <w:color w:val="000000"/>
                <w:szCs w:val="21"/>
              </w:rPr>
              <w:t>运维监管</w:t>
            </w:r>
          </w:p>
        </w:tc>
        <w:tc>
          <w:tcPr>
            <w:tcW w:w="728" w:type="dxa"/>
            <w:shd w:val="clear" w:color="auto" w:fill="FFFFFF"/>
            <w:noWrap w:val="0"/>
            <w:vAlign w:val="center"/>
          </w:tcPr>
          <w:p w14:paraId="4A0918A3">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81</w:t>
            </w:r>
          </w:p>
        </w:tc>
        <w:tc>
          <w:tcPr>
            <w:tcW w:w="3099" w:type="dxa"/>
            <w:shd w:val="clear" w:color="auto" w:fill="FFFFFF"/>
            <w:noWrap w:val="0"/>
            <w:vAlign w:val="center"/>
          </w:tcPr>
          <w:p w14:paraId="75F03F52">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系统授权管理</w:t>
            </w:r>
          </w:p>
        </w:tc>
        <w:tc>
          <w:tcPr>
            <w:tcW w:w="1386" w:type="dxa"/>
            <w:shd w:val="clear" w:color="auto" w:fill="FFFFFF"/>
            <w:noWrap w:val="0"/>
            <w:vAlign w:val="top"/>
          </w:tcPr>
          <w:p w14:paraId="4792F9A7">
            <w:pPr>
              <w:adjustRightInd w:val="0"/>
              <w:snapToGrid w:val="0"/>
              <w:rPr>
                <w:rFonts w:hint="eastAsia" w:ascii="仿宋_GB2312" w:eastAsia="仿宋_GB2312" w:cs="宋体"/>
                <w:color w:val="000000"/>
                <w:szCs w:val="21"/>
              </w:rPr>
            </w:pPr>
          </w:p>
        </w:tc>
      </w:tr>
      <w:tr w14:paraId="654A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63A739D8">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6BDC56CC">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3F2DCF6E">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82</w:t>
            </w:r>
          </w:p>
        </w:tc>
        <w:tc>
          <w:tcPr>
            <w:tcW w:w="3099" w:type="dxa"/>
            <w:shd w:val="clear" w:color="auto" w:fill="FFFFFF"/>
            <w:noWrap w:val="0"/>
            <w:vAlign w:val="center"/>
          </w:tcPr>
          <w:p w14:paraId="03BA65C6">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服务综合管理</w:t>
            </w:r>
          </w:p>
        </w:tc>
        <w:tc>
          <w:tcPr>
            <w:tcW w:w="1386" w:type="dxa"/>
            <w:shd w:val="clear" w:color="auto" w:fill="FFFFFF"/>
            <w:noWrap w:val="0"/>
            <w:vAlign w:val="top"/>
          </w:tcPr>
          <w:p w14:paraId="68E8D333">
            <w:pPr>
              <w:adjustRightInd w:val="0"/>
              <w:snapToGrid w:val="0"/>
              <w:rPr>
                <w:rFonts w:hint="eastAsia" w:ascii="仿宋_GB2312" w:eastAsia="仿宋_GB2312" w:cs="宋体"/>
                <w:color w:val="000000"/>
                <w:szCs w:val="21"/>
              </w:rPr>
            </w:pPr>
          </w:p>
        </w:tc>
      </w:tr>
      <w:tr w14:paraId="03BD5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0FC3650C">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636917F1">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51FE8933">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83</w:t>
            </w:r>
          </w:p>
        </w:tc>
        <w:tc>
          <w:tcPr>
            <w:tcW w:w="3099" w:type="dxa"/>
            <w:shd w:val="clear" w:color="auto" w:fill="FFFFFF"/>
            <w:noWrap w:val="0"/>
            <w:vAlign w:val="center"/>
          </w:tcPr>
          <w:p w14:paraId="5844B446">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数据质量管理</w:t>
            </w:r>
          </w:p>
        </w:tc>
        <w:tc>
          <w:tcPr>
            <w:tcW w:w="1386" w:type="dxa"/>
            <w:shd w:val="clear" w:color="auto" w:fill="FFFFFF"/>
            <w:noWrap w:val="0"/>
            <w:vAlign w:val="top"/>
          </w:tcPr>
          <w:p w14:paraId="51811155">
            <w:pPr>
              <w:adjustRightInd w:val="0"/>
              <w:snapToGrid w:val="0"/>
              <w:rPr>
                <w:rFonts w:hint="eastAsia" w:ascii="仿宋_GB2312" w:eastAsia="仿宋_GB2312" w:cs="宋体"/>
                <w:color w:val="000000"/>
                <w:szCs w:val="21"/>
              </w:rPr>
            </w:pPr>
          </w:p>
        </w:tc>
      </w:tr>
      <w:tr w14:paraId="25F4A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vMerge w:val="continue"/>
            <w:shd w:val="clear" w:color="auto" w:fill="FFFFFF"/>
            <w:noWrap w:val="0"/>
            <w:vAlign w:val="center"/>
          </w:tcPr>
          <w:p w14:paraId="76F4DA1D">
            <w:pPr>
              <w:adjustRightInd w:val="0"/>
              <w:snapToGrid w:val="0"/>
              <w:rPr>
                <w:rFonts w:hint="eastAsia" w:ascii="仿宋_GB2312" w:eastAsia="仿宋_GB2312" w:cs="宋体"/>
                <w:b/>
                <w:bCs/>
                <w:color w:val="000000"/>
                <w:szCs w:val="21"/>
              </w:rPr>
            </w:pPr>
          </w:p>
        </w:tc>
        <w:tc>
          <w:tcPr>
            <w:tcW w:w="1591" w:type="dxa"/>
            <w:vMerge w:val="continue"/>
            <w:shd w:val="clear" w:color="auto" w:fill="FFFFFF"/>
            <w:noWrap w:val="0"/>
            <w:vAlign w:val="center"/>
          </w:tcPr>
          <w:p w14:paraId="6FF073D5">
            <w:pPr>
              <w:adjustRightInd w:val="0"/>
              <w:snapToGrid w:val="0"/>
              <w:rPr>
                <w:rFonts w:hint="eastAsia" w:ascii="仿宋_GB2312" w:eastAsia="仿宋_GB2312" w:cs="宋体"/>
                <w:b/>
                <w:bCs/>
                <w:color w:val="000000"/>
                <w:szCs w:val="21"/>
              </w:rPr>
            </w:pPr>
          </w:p>
        </w:tc>
        <w:tc>
          <w:tcPr>
            <w:tcW w:w="728" w:type="dxa"/>
            <w:shd w:val="clear" w:color="auto" w:fill="FFFFFF"/>
            <w:noWrap w:val="0"/>
            <w:vAlign w:val="center"/>
          </w:tcPr>
          <w:p w14:paraId="0AD9C420">
            <w:pPr>
              <w:adjustRightInd w:val="0"/>
              <w:snapToGrid w:val="0"/>
              <w:jc w:val="center"/>
              <w:textAlignment w:val="center"/>
              <w:rPr>
                <w:rFonts w:hint="eastAsia" w:ascii="仿宋_GB2312" w:eastAsia="仿宋_GB2312" w:cs="宋体"/>
                <w:color w:val="000000"/>
                <w:szCs w:val="21"/>
              </w:rPr>
            </w:pPr>
            <w:r>
              <w:rPr>
                <w:rFonts w:hint="eastAsia" w:ascii="仿宋_GB2312" w:eastAsia="仿宋_GB2312" w:cs="宋体"/>
                <w:color w:val="000000"/>
                <w:szCs w:val="21"/>
              </w:rPr>
              <w:t>84</w:t>
            </w:r>
          </w:p>
        </w:tc>
        <w:tc>
          <w:tcPr>
            <w:tcW w:w="3099" w:type="dxa"/>
            <w:shd w:val="clear" w:color="auto" w:fill="FFFFFF"/>
            <w:noWrap w:val="0"/>
            <w:vAlign w:val="center"/>
          </w:tcPr>
          <w:p w14:paraId="47836F1F">
            <w:pPr>
              <w:adjustRightInd w:val="0"/>
              <w:snapToGrid w:val="0"/>
              <w:rPr>
                <w:rFonts w:hint="eastAsia" w:ascii="仿宋_GB2312" w:eastAsia="仿宋_GB2312" w:cs="宋体"/>
                <w:color w:val="000000"/>
                <w:szCs w:val="21"/>
              </w:rPr>
            </w:pPr>
            <w:r>
              <w:rPr>
                <w:rFonts w:hint="eastAsia" w:ascii="仿宋_GB2312" w:eastAsia="仿宋_GB2312" w:cs="宋体"/>
                <w:color w:val="000000"/>
                <w:szCs w:val="21"/>
              </w:rPr>
              <w:t>实时监控系统</w:t>
            </w:r>
          </w:p>
        </w:tc>
        <w:tc>
          <w:tcPr>
            <w:tcW w:w="1386" w:type="dxa"/>
            <w:shd w:val="clear" w:color="auto" w:fill="FFFFFF"/>
            <w:noWrap w:val="0"/>
            <w:vAlign w:val="top"/>
          </w:tcPr>
          <w:p w14:paraId="420B3CC3">
            <w:pPr>
              <w:adjustRightInd w:val="0"/>
              <w:snapToGrid w:val="0"/>
              <w:rPr>
                <w:rFonts w:hint="eastAsia" w:ascii="仿宋_GB2312" w:eastAsia="仿宋_GB2312" w:cs="宋体"/>
                <w:color w:val="000000"/>
                <w:szCs w:val="21"/>
              </w:rPr>
            </w:pPr>
          </w:p>
        </w:tc>
      </w:tr>
    </w:tbl>
    <w:p w14:paraId="534134A1">
      <w:pPr>
        <w:adjustRightInd w:val="0"/>
        <w:snapToGrid w:val="0"/>
        <w:spacing w:line="500" w:lineRule="exact"/>
        <w:ind w:firstLine="480" w:firstLineChars="200"/>
        <w:jc w:val="left"/>
        <w:rPr>
          <w:rFonts w:hint="eastAsia" w:asciiTheme="minorEastAsia" w:hAnsiTheme="minorEastAsia" w:eastAsiaTheme="minorEastAsia"/>
          <w:sz w:val="24"/>
          <w:szCs w:val="24"/>
        </w:rPr>
      </w:pPr>
    </w:p>
    <w:p w14:paraId="0877F8B6">
      <w:pPr>
        <w:adjustRightInd w:val="0"/>
        <w:snapToGrid w:val="0"/>
        <w:spacing w:line="500" w:lineRule="exact"/>
        <w:ind w:firstLine="480" w:firstLineChars="200"/>
        <w:jc w:val="left"/>
        <w:rPr>
          <w:rFonts w:hint="eastAsia" w:asciiTheme="minorEastAsia" w:hAnsiTheme="minorEastAsia" w:eastAsiaTheme="minorEastAsia"/>
          <w:sz w:val="24"/>
          <w:szCs w:val="24"/>
        </w:rPr>
      </w:pPr>
    </w:p>
    <w:p w14:paraId="717FB2DC">
      <w:pPr>
        <w:adjustRightInd w:val="0"/>
        <w:snapToGrid w:val="0"/>
        <w:spacing w:line="500" w:lineRule="exact"/>
        <w:ind w:firstLine="480" w:firstLineChars="200"/>
        <w:jc w:val="left"/>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互联网医院功能模块清单如下：</w:t>
      </w:r>
    </w:p>
    <w:tbl>
      <w:tblPr>
        <w:tblStyle w:val="7"/>
        <w:tblW w:w="8359" w:type="dxa"/>
        <w:tblInd w:w="0" w:type="dxa"/>
        <w:tblLayout w:type="fixed"/>
        <w:tblCellMar>
          <w:top w:w="0" w:type="dxa"/>
          <w:left w:w="108" w:type="dxa"/>
          <w:bottom w:w="0" w:type="dxa"/>
          <w:right w:w="108" w:type="dxa"/>
        </w:tblCellMar>
      </w:tblPr>
      <w:tblGrid>
        <w:gridCol w:w="1413"/>
        <w:gridCol w:w="1417"/>
        <w:gridCol w:w="5529"/>
      </w:tblGrid>
      <w:tr w14:paraId="3BC38F2F">
        <w:tblPrEx>
          <w:tblCellMar>
            <w:top w:w="0" w:type="dxa"/>
            <w:left w:w="108" w:type="dxa"/>
            <w:bottom w:w="0" w:type="dxa"/>
            <w:right w:w="108" w:type="dxa"/>
          </w:tblCellMar>
        </w:tblPrEx>
        <w:trPr>
          <w:trHeight w:val="474" w:hRule="atLeast"/>
        </w:trPr>
        <w:tc>
          <w:tcPr>
            <w:tcW w:w="1413" w:type="dxa"/>
            <w:tcBorders>
              <w:top w:val="single" w:color="auto" w:sz="4" w:space="0"/>
              <w:left w:val="single" w:color="auto" w:sz="4" w:space="0"/>
              <w:bottom w:val="single" w:color="auto" w:sz="4" w:space="0"/>
              <w:right w:val="single" w:color="auto" w:sz="4" w:space="0"/>
            </w:tcBorders>
            <w:noWrap w:val="0"/>
            <w:vAlign w:val="center"/>
          </w:tcPr>
          <w:p w14:paraId="754C2CC4">
            <w:pPr>
              <w:widowControl/>
              <w:jc w:val="center"/>
              <w:rPr>
                <w:rFonts w:ascii="彩虹粗仿宋" w:hAnsi="宋体" w:eastAsia="彩虹粗仿宋" w:cs="宋体"/>
                <w:b/>
                <w:bCs/>
                <w:color w:val="000000"/>
                <w:kern w:val="0"/>
                <w:sz w:val="22"/>
              </w:rPr>
            </w:pPr>
            <w:r>
              <w:rPr>
                <w:rFonts w:hint="eastAsia" w:ascii="彩虹粗仿宋" w:hAnsi="宋体" w:eastAsia="彩虹粗仿宋" w:cs="宋体"/>
                <w:b/>
                <w:bCs/>
                <w:color w:val="000000"/>
                <w:kern w:val="0"/>
                <w:sz w:val="22"/>
              </w:rPr>
              <w:t>功能模块</w:t>
            </w:r>
          </w:p>
        </w:tc>
        <w:tc>
          <w:tcPr>
            <w:tcW w:w="1417" w:type="dxa"/>
            <w:tcBorders>
              <w:top w:val="single" w:color="auto" w:sz="4" w:space="0"/>
              <w:left w:val="nil"/>
              <w:bottom w:val="single" w:color="auto" w:sz="4" w:space="0"/>
              <w:right w:val="single" w:color="auto" w:sz="4" w:space="0"/>
            </w:tcBorders>
            <w:noWrap w:val="0"/>
            <w:vAlign w:val="center"/>
          </w:tcPr>
          <w:p w14:paraId="30612C8C">
            <w:pPr>
              <w:widowControl/>
              <w:jc w:val="center"/>
              <w:rPr>
                <w:rFonts w:ascii="彩虹粗仿宋" w:hAnsi="宋体" w:eastAsia="彩虹粗仿宋" w:cs="宋体"/>
                <w:b/>
                <w:bCs/>
                <w:color w:val="000000"/>
                <w:kern w:val="0"/>
                <w:sz w:val="22"/>
              </w:rPr>
            </w:pPr>
            <w:r>
              <w:rPr>
                <w:rFonts w:hint="eastAsia" w:ascii="彩虹粗仿宋" w:hAnsi="宋体" w:eastAsia="彩虹粗仿宋" w:cs="宋体"/>
                <w:b/>
                <w:bCs/>
                <w:color w:val="000000"/>
                <w:kern w:val="0"/>
                <w:sz w:val="22"/>
              </w:rPr>
              <w:t>功能名称</w:t>
            </w:r>
          </w:p>
        </w:tc>
        <w:tc>
          <w:tcPr>
            <w:tcW w:w="5529" w:type="dxa"/>
            <w:tcBorders>
              <w:top w:val="single" w:color="auto" w:sz="4" w:space="0"/>
              <w:left w:val="nil"/>
              <w:bottom w:val="single" w:color="auto" w:sz="4" w:space="0"/>
              <w:right w:val="single" w:color="auto" w:sz="4" w:space="0"/>
            </w:tcBorders>
            <w:noWrap w:val="0"/>
            <w:vAlign w:val="center"/>
          </w:tcPr>
          <w:p w14:paraId="7ED8BBC9">
            <w:pPr>
              <w:widowControl/>
              <w:jc w:val="center"/>
              <w:rPr>
                <w:rFonts w:ascii="彩虹粗仿宋" w:hAnsi="宋体" w:eastAsia="彩虹粗仿宋" w:cs="宋体"/>
                <w:b/>
                <w:bCs/>
                <w:color w:val="000000"/>
                <w:kern w:val="0"/>
                <w:sz w:val="22"/>
              </w:rPr>
            </w:pPr>
            <w:r>
              <w:rPr>
                <w:rFonts w:hint="eastAsia" w:ascii="彩虹粗仿宋" w:hAnsi="宋体" w:eastAsia="彩虹粗仿宋" w:cs="宋体"/>
                <w:b/>
                <w:bCs/>
                <w:color w:val="000000"/>
                <w:kern w:val="0"/>
                <w:sz w:val="22"/>
              </w:rPr>
              <w:t>功能参数要求</w:t>
            </w:r>
          </w:p>
        </w:tc>
      </w:tr>
      <w:tr w14:paraId="1F4CA658">
        <w:tblPrEx>
          <w:tblCellMar>
            <w:top w:w="0" w:type="dxa"/>
            <w:left w:w="108" w:type="dxa"/>
            <w:bottom w:w="0" w:type="dxa"/>
            <w:right w:w="108" w:type="dxa"/>
          </w:tblCellMar>
        </w:tblPrEx>
        <w:trPr>
          <w:trHeight w:val="280" w:hRule="atLeast"/>
        </w:trPr>
        <w:tc>
          <w:tcPr>
            <w:tcW w:w="8359" w:type="dxa"/>
            <w:gridSpan w:val="3"/>
            <w:tcBorders>
              <w:top w:val="single" w:color="auto" w:sz="4" w:space="0"/>
              <w:left w:val="single" w:color="auto" w:sz="4" w:space="0"/>
              <w:bottom w:val="single" w:color="auto" w:sz="4" w:space="0"/>
              <w:right w:val="single" w:color="auto" w:sz="4" w:space="0"/>
            </w:tcBorders>
            <w:noWrap w:val="0"/>
            <w:vAlign w:val="center"/>
          </w:tcPr>
          <w:p w14:paraId="36E90202">
            <w:pPr>
              <w:widowControl/>
              <w:jc w:val="center"/>
              <w:rPr>
                <w:rFonts w:ascii="彩虹粗仿宋" w:hAnsi="宋体" w:eastAsia="彩虹粗仿宋" w:cs="宋体"/>
                <w:b/>
                <w:bCs/>
                <w:color w:val="000000"/>
                <w:kern w:val="0"/>
                <w:sz w:val="22"/>
              </w:rPr>
            </w:pPr>
            <w:r>
              <w:rPr>
                <w:rFonts w:hint="eastAsia" w:ascii="彩虹粗仿宋" w:hAnsi="宋体" w:eastAsia="彩虹粗仿宋" w:cs="宋体"/>
                <w:b/>
                <w:bCs/>
                <w:color w:val="000000"/>
                <w:kern w:val="0"/>
                <w:sz w:val="22"/>
              </w:rPr>
              <w:t>患者端</w:t>
            </w:r>
          </w:p>
        </w:tc>
      </w:tr>
      <w:tr w14:paraId="6DC68B4C">
        <w:tblPrEx>
          <w:tblCellMar>
            <w:top w:w="0" w:type="dxa"/>
            <w:left w:w="108" w:type="dxa"/>
            <w:bottom w:w="0" w:type="dxa"/>
            <w:right w:w="108" w:type="dxa"/>
          </w:tblCellMar>
        </w:tblPrEx>
        <w:trPr>
          <w:trHeight w:val="1105" w:hRule="atLeast"/>
        </w:trPr>
        <w:tc>
          <w:tcPr>
            <w:tcW w:w="1413" w:type="dxa"/>
            <w:tcBorders>
              <w:top w:val="nil"/>
              <w:left w:val="single" w:color="auto" w:sz="4" w:space="0"/>
              <w:bottom w:val="single" w:color="auto" w:sz="4" w:space="0"/>
              <w:right w:val="single" w:color="auto" w:sz="4" w:space="0"/>
            </w:tcBorders>
            <w:noWrap w:val="0"/>
            <w:vAlign w:val="center"/>
          </w:tcPr>
          <w:p w14:paraId="7248C208">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注册/登录</w:t>
            </w:r>
          </w:p>
        </w:tc>
        <w:tc>
          <w:tcPr>
            <w:tcW w:w="1417" w:type="dxa"/>
            <w:tcBorders>
              <w:top w:val="nil"/>
              <w:left w:val="nil"/>
              <w:bottom w:val="single" w:color="auto" w:sz="4" w:space="0"/>
              <w:right w:val="single" w:color="auto" w:sz="4" w:space="0"/>
            </w:tcBorders>
            <w:noWrap w:val="0"/>
            <w:vAlign w:val="center"/>
          </w:tcPr>
          <w:p w14:paraId="3BB4A291">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注册/登录</w:t>
            </w:r>
          </w:p>
        </w:tc>
        <w:tc>
          <w:tcPr>
            <w:tcW w:w="5529" w:type="dxa"/>
            <w:tcBorders>
              <w:top w:val="nil"/>
              <w:left w:val="nil"/>
              <w:bottom w:val="single" w:color="auto" w:sz="4" w:space="0"/>
              <w:right w:val="single" w:color="auto" w:sz="4" w:space="0"/>
            </w:tcBorders>
            <w:noWrap w:val="0"/>
            <w:vAlign w:val="center"/>
          </w:tcPr>
          <w:p w14:paraId="51CBE197">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1.支持通过手机号码注册账号；</w:t>
            </w:r>
            <w:r>
              <w:rPr>
                <w:rFonts w:hint="eastAsia" w:ascii="仿宋_GB2312" w:hAnsi="Calibri" w:eastAsia="仿宋_GB2312" w:cs="宋体"/>
                <w:color w:val="000000"/>
                <w:szCs w:val="21"/>
              </w:rPr>
              <w:br w:type="textWrapping"/>
            </w:r>
            <w:r>
              <w:rPr>
                <w:rFonts w:hint="eastAsia" w:ascii="仿宋_GB2312" w:hAnsi="Calibri" w:eastAsia="仿宋_GB2312" w:cs="宋体"/>
                <w:color w:val="000000"/>
                <w:szCs w:val="21"/>
              </w:rPr>
              <w:t>2.支持通过密码或手机验证码快捷登录；</w:t>
            </w:r>
            <w:r>
              <w:rPr>
                <w:rFonts w:hint="eastAsia" w:ascii="仿宋_GB2312" w:hAnsi="Calibri" w:eastAsia="仿宋_GB2312" w:cs="宋体"/>
                <w:color w:val="000000"/>
                <w:szCs w:val="21"/>
              </w:rPr>
              <w:br w:type="textWrapping"/>
            </w:r>
            <w:r>
              <w:rPr>
                <w:rFonts w:hint="eastAsia" w:ascii="仿宋_GB2312" w:hAnsi="Calibri" w:eastAsia="仿宋_GB2312" w:cs="宋体"/>
                <w:color w:val="000000"/>
                <w:szCs w:val="21"/>
              </w:rPr>
              <w:t>3.支持微信、QQ、新浪微博快捷登录；</w:t>
            </w:r>
            <w:r>
              <w:rPr>
                <w:rFonts w:hint="eastAsia" w:ascii="仿宋_GB2312" w:hAnsi="Calibri" w:eastAsia="仿宋_GB2312" w:cs="宋体"/>
                <w:color w:val="000000"/>
                <w:szCs w:val="21"/>
              </w:rPr>
              <w:br w:type="textWrapping"/>
            </w:r>
            <w:r>
              <w:rPr>
                <w:rFonts w:hint="eastAsia" w:ascii="仿宋_GB2312" w:hAnsi="Calibri" w:eastAsia="仿宋_GB2312" w:cs="宋体"/>
                <w:color w:val="000000"/>
                <w:szCs w:val="21"/>
              </w:rPr>
              <w:t>4.支持苹果授权登录；</w:t>
            </w:r>
          </w:p>
        </w:tc>
      </w:tr>
      <w:tr w14:paraId="5B498157">
        <w:tblPrEx>
          <w:tblCellMar>
            <w:top w:w="0" w:type="dxa"/>
            <w:left w:w="108" w:type="dxa"/>
            <w:bottom w:w="0" w:type="dxa"/>
            <w:right w:w="108" w:type="dxa"/>
          </w:tblCellMar>
        </w:tblPrEx>
        <w:trPr>
          <w:trHeight w:val="1159" w:hRule="atLeast"/>
        </w:trPr>
        <w:tc>
          <w:tcPr>
            <w:tcW w:w="1413" w:type="dxa"/>
            <w:vMerge w:val="restart"/>
            <w:tcBorders>
              <w:top w:val="nil"/>
              <w:left w:val="single" w:color="auto" w:sz="4" w:space="0"/>
              <w:bottom w:val="single" w:color="auto" w:sz="4" w:space="0"/>
              <w:right w:val="single" w:color="auto" w:sz="4" w:space="0"/>
            </w:tcBorders>
            <w:noWrap w:val="0"/>
            <w:vAlign w:val="center"/>
          </w:tcPr>
          <w:p w14:paraId="3BEC3AB6">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门诊服务</w:t>
            </w:r>
          </w:p>
        </w:tc>
        <w:tc>
          <w:tcPr>
            <w:tcW w:w="1417" w:type="dxa"/>
            <w:tcBorders>
              <w:top w:val="nil"/>
              <w:left w:val="nil"/>
              <w:bottom w:val="single" w:color="auto" w:sz="4" w:space="0"/>
              <w:right w:val="single" w:color="auto" w:sz="4" w:space="0"/>
            </w:tcBorders>
            <w:noWrap w:val="0"/>
            <w:vAlign w:val="center"/>
          </w:tcPr>
          <w:p w14:paraId="4268A328">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预约挂号</w:t>
            </w:r>
          </w:p>
        </w:tc>
        <w:tc>
          <w:tcPr>
            <w:tcW w:w="5529" w:type="dxa"/>
            <w:tcBorders>
              <w:top w:val="nil"/>
              <w:left w:val="nil"/>
              <w:bottom w:val="single" w:color="auto" w:sz="4" w:space="0"/>
              <w:right w:val="single" w:color="auto" w:sz="4" w:space="0"/>
            </w:tcBorders>
            <w:noWrap w:val="0"/>
            <w:vAlign w:val="center"/>
          </w:tcPr>
          <w:p w14:paraId="0DBCCE0B">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支持院区、科室、时间、排班医生层级式部署，同时提供院区、科室名称、医生姓名三种检索查询方式查找预约挂号；为患者提供医生简介、职称、余号信息、停诊信息、挂号费用、擅长领域、排班信息等资料。</w:t>
            </w:r>
          </w:p>
        </w:tc>
      </w:tr>
      <w:tr w14:paraId="3DBB8C1E">
        <w:tblPrEx>
          <w:tblCellMar>
            <w:top w:w="0" w:type="dxa"/>
            <w:left w:w="108" w:type="dxa"/>
            <w:bottom w:w="0" w:type="dxa"/>
            <w:right w:w="108" w:type="dxa"/>
          </w:tblCellMar>
        </w:tblPrEx>
        <w:trPr>
          <w:trHeight w:val="663"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43D5BAD2">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29091614">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分诊叫号</w:t>
            </w:r>
          </w:p>
        </w:tc>
        <w:tc>
          <w:tcPr>
            <w:tcW w:w="5529" w:type="dxa"/>
            <w:tcBorders>
              <w:top w:val="nil"/>
              <w:left w:val="nil"/>
              <w:bottom w:val="single" w:color="auto" w:sz="4" w:space="0"/>
              <w:right w:val="single" w:color="auto" w:sz="4" w:space="0"/>
            </w:tcBorders>
            <w:noWrap w:val="0"/>
            <w:vAlign w:val="center"/>
          </w:tcPr>
          <w:p w14:paraId="0A0489BE">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支持实时查询各个分诊台的叫号信息与队列情况，通过手机即可了解当前叫号情况。</w:t>
            </w:r>
          </w:p>
        </w:tc>
      </w:tr>
      <w:tr w14:paraId="6F589BE8">
        <w:tblPrEx>
          <w:tblCellMar>
            <w:top w:w="0" w:type="dxa"/>
            <w:left w:w="108" w:type="dxa"/>
            <w:bottom w:w="0" w:type="dxa"/>
            <w:right w:w="108" w:type="dxa"/>
          </w:tblCellMar>
        </w:tblPrEx>
        <w:trPr>
          <w:trHeight w:val="85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0D4E8B8D">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7F245A3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门诊充值</w:t>
            </w:r>
          </w:p>
        </w:tc>
        <w:tc>
          <w:tcPr>
            <w:tcW w:w="5529" w:type="dxa"/>
            <w:tcBorders>
              <w:top w:val="nil"/>
              <w:left w:val="nil"/>
              <w:bottom w:val="single" w:color="auto" w:sz="4" w:space="0"/>
              <w:right w:val="single" w:color="auto" w:sz="4" w:space="0"/>
            </w:tcBorders>
            <w:noWrap/>
            <w:vAlign w:val="center"/>
          </w:tcPr>
          <w:p w14:paraId="3B3FE043">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门诊充值支持包含常用支付方式银联、支付宝、微信支付充值，实现移动端门诊充值，设置推荐金额快捷预缴通道和其他金额精准预缴通道；可实时查询充值记录。</w:t>
            </w:r>
          </w:p>
        </w:tc>
      </w:tr>
      <w:tr w14:paraId="557AC9EA">
        <w:tblPrEx>
          <w:tblCellMar>
            <w:top w:w="0" w:type="dxa"/>
            <w:left w:w="108" w:type="dxa"/>
            <w:bottom w:w="0" w:type="dxa"/>
            <w:right w:w="108" w:type="dxa"/>
          </w:tblCellMar>
        </w:tblPrEx>
        <w:trPr>
          <w:trHeight w:val="665"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6CAF15F1">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7983D077">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门诊缴费</w:t>
            </w:r>
          </w:p>
        </w:tc>
        <w:tc>
          <w:tcPr>
            <w:tcW w:w="5529" w:type="dxa"/>
            <w:tcBorders>
              <w:top w:val="nil"/>
              <w:left w:val="nil"/>
              <w:bottom w:val="single" w:color="auto" w:sz="4" w:space="0"/>
              <w:right w:val="single" w:color="auto" w:sz="4" w:space="0"/>
            </w:tcBorders>
            <w:noWrap/>
            <w:vAlign w:val="center"/>
          </w:tcPr>
          <w:p w14:paraId="3BB9C75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支持门诊在线支付的功能，包括支付宝、微信支付、银联支付等第三方支付方式。</w:t>
            </w:r>
          </w:p>
        </w:tc>
      </w:tr>
      <w:tr w14:paraId="2C081206">
        <w:tblPrEx>
          <w:tblCellMar>
            <w:top w:w="0" w:type="dxa"/>
            <w:left w:w="108" w:type="dxa"/>
            <w:bottom w:w="0" w:type="dxa"/>
            <w:right w:w="108" w:type="dxa"/>
          </w:tblCellMar>
        </w:tblPrEx>
        <w:trPr>
          <w:trHeight w:val="473"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1F3E9ED6">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299FCFF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充值退费</w:t>
            </w:r>
          </w:p>
        </w:tc>
        <w:tc>
          <w:tcPr>
            <w:tcW w:w="5529" w:type="dxa"/>
            <w:tcBorders>
              <w:top w:val="nil"/>
              <w:left w:val="nil"/>
              <w:bottom w:val="single" w:color="auto" w:sz="4" w:space="0"/>
              <w:right w:val="single" w:color="auto" w:sz="4" w:space="0"/>
            </w:tcBorders>
            <w:noWrap/>
            <w:vAlign w:val="center"/>
          </w:tcPr>
          <w:p w14:paraId="03E20EB8">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支持手机端发起线上充值订单的退费操作。</w:t>
            </w:r>
          </w:p>
        </w:tc>
      </w:tr>
      <w:tr w14:paraId="03A5F5AE">
        <w:tblPrEx>
          <w:tblCellMar>
            <w:top w:w="0" w:type="dxa"/>
            <w:left w:w="108" w:type="dxa"/>
            <w:bottom w:w="0" w:type="dxa"/>
            <w:right w:w="108" w:type="dxa"/>
          </w:tblCellMar>
        </w:tblPrEx>
        <w:trPr>
          <w:trHeight w:val="683"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6F86AF8A">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320AEF33">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诊前信息</w:t>
            </w:r>
          </w:p>
        </w:tc>
        <w:tc>
          <w:tcPr>
            <w:tcW w:w="5529" w:type="dxa"/>
            <w:tcBorders>
              <w:top w:val="nil"/>
              <w:left w:val="nil"/>
              <w:bottom w:val="single" w:color="auto" w:sz="4" w:space="0"/>
              <w:right w:val="single" w:color="auto" w:sz="4" w:space="0"/>
            </w:tcBorders>
            <w:noWrap/>
            <w:vAlign w:val="center"/>
          </w:tcPr>
          <w:p w14:paraId="1A3DDF24">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支持患者就诊前将自己的病情进行详细说明，并将自己的检查检验信息以图片的形式上传给医生。</w:t>
            </w:r>
          </w:p>
        </w:tc>
      </w:tr>
      <w:tr w14:paraId="492A8F05">
        <w:tblPrEx>
          <w:tblCellMar>
            <w:top w:w="0" w:type="dxa"/>
            <w:left w:w="108" w:type="dxa"/>
            <w:bottom w:w="0" w:type="dxa"/>
            <w:right w:w="108" w:type="dxa"/>
          </w:tblCellMar>
        </w:tblPrEx>
        <w:trPr>
          <w:trHeight w:val="6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00D3EBF4">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2A3F0C4E">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视频咨询</w:t>
            </w:r>
          </w:p>
        </w:tc>
        <w:tc>
          <w:tcPr>
            <w:tcW w:w="5529" w:type="dxa"/>
            <w:tcBorders>
              <w:top w:val="nil"/>
              <w:left w:val="nil"/>
              <w:bottom w:val="single" w:color="auto" w:sz="4" w:space="0"/>
              <w:right w:val="single" w:color="auto" w:sz="4" w:space="0"/>
            </w:tcBorders>
            <w:noWrap/>
            <w:vAlign w:val="center"/>
          </w:tcPr>
          <w:p w14:paraId="420AA945">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支持在完成支付的前提下，通过预约的方式与医生进行面对面视频咨询。</w:t>
            </w:r>
          </w:p>
        </w:tc>
      </w:tr>
      <w:tr w14:paraId="553202F2">
        <w:tblPrEx>
          <w:tblCellMar>
            <w:top w:w="0" w:type="dxa"/>
            <w:left w:w="108" w:type="dxa"/>
            <w:bottom w:w="0" w:type="dxa"/>
            <w:right w:w="108" w:type="dxa"/>
          </w:tblCellMar>
        </w:tblPrEx>
        <w:trPr>
          <w:trHeight w:val="701"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04496B99">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0123A08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电话咨询</w:t>
            </w:r>
          </w:p>
        </w:tc>
        <w:tc>
          <w:tcPr>
            <w:tcW w:w="5529" w:type="dxa"/>
            <w:tcBorders>
              <w:top w:val="nil"/>
              <w:left w:val="nil"/>
              <w:bottom w:val="single" w:color="auto" w:sz="4" w:space="0"/>
              <w:right w:val="single" w:color="auto" w:sz="4" w:space="0"/>
            </w:tcBorders>
            <w:noWrap/>
            <w:vAlign w:val="center"/>
          </w:tcPr>
          <w:p w14:paraId="25D93B1F">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支持在完成支付和患者在提前预约连线时间点的前提下，由医生发起帮助患者和医生进行语音连续咨询。</w:t>
            </w:r>
          </w:p>
        </w:tc>
      </w:tr>
      <w:tr w14:paraId="26508384">
        <w:tblPrEx>
          <w:tblCellMar>
            <w:top w:w="0" w:type="dxa"/>
            <w:left w:w="108" w:type="dxa"/>
            <w:bottom w:w="0" w:type="dxa"/>
            <w:right w:w="108" w:type="dxa"/>
          </w:tblCellMar>
        </w:tblPrEx>
        <w:trPr>
          <w:trHeight w:val="965"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79150659">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34E42704">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在线问诊</w:t>
            </w:r>
          </w:p>
        </w:tc>
        <w:tc>
          <w:tcPr>
            <w:tcW w:w="5529" w:type="dxa"/>
            <w:tcBorders>
              <w:top w:val="nil"/>
              <w:left w:val="nil"/>
              <w:bottom w:val="single" w:color="auto" w:sz="4" w:space="0"/>
              <w:right w:val="single" w:color="auto" w:sz="4" w:space="0"/>
            </w:tcBorders>
            <w:noWrap/>
            <w:vAlign w:val="center"/>
          </w:tcPr>
          <w:p w14:paraId="2CC4782B">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支持复诊患者在线完成问诊订单支付，医生接单后可查看患者的病历资料，结合与患者的沟通结果，根据实际情况为患者开具药品和检验检查。</w:t>
            </w:r>
          </w:p>
        </w:tc>
      </w:tr>
      <w:tr w14:paraId="070BB0A5">
        <w:tblPrEx>
          <w:tblCellMar>
            <w:top w:w="0" w:type="dxa"/>
            <w:left w:w="108" w:type="dxa"/>
            <w:bottom w:w="0" w:type="dxa"/>
            <w:right w:w="108" w:type="dxa"/>
          </w:tblCellMar>
        </w:tblPrEx>
        <w:trPr>
          <w:trHeight w:val="647"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3CCB89DD">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36440B66">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 xml:space="preserve"> 高清视频</w:t>
            </w:r>
          </w:p>
        </w:tc>
        <w:tc>
          <w:tcPr>
            <w:tcW w:w="5529" w:type="dxa"/>
            <w:tcBorders>
              <w:top w:val="nil"/>
              <w:left w:val="nil"/>
              <w:bottom w:val="single" w:color="auto" w:sz="4" w:space="0"/>
              <w:right w:val="single" w:color="auto" w:sz="4" w:space="0"/>
            </w:tcBorders>
            <w:noWrap/>
            <w:vAlign w:val="center"/>
          </w:tcPr>
          <w:p w14:paraId="48FDC873">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支持PC端通过高清视频连接医生和患者双方，进行视频问诊。并可控制视频的影像、音量、麦克风等设备。</w:t>
            </w:r>
          </w:p>
        </w:tc>
      </w:tr>
      <w:tr w14:paraId="4E4F16C2">
        <w:tblPrEx>
          <w:tblCellMar>
            <w:top w:w="0" w:type="dxa"/>
            <w:left w:w="108" w:type="dxa"/>
            <w:bottom w:w="0" w:type="dxa"/>
            <w:right w:w="108" w:type="dxa"/>
          </w:tblCellMar>
        </w:tblPrEx>
        <w:trPr>
          <w:trHeight w:val="719"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7DDC0B42">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24F82BF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 xml:space="preserve"> 医嘱管理</w:t>
            </w:r>
          </w:p>
        </w:tc>
        <w:tc>
          <w:tcPr>
            <w:tcW w:w="5529" w:type="dxa"/>
            <w:tcBorders>
              <w:top w:val="nil"/>
              <w:left w:val="nil"/>
              <w:bottom w:val="single" w:color="auto" w:sz="4" w:space="0"/>
              <w:right w:val="single" w:color="auto" w:sz="4" w:space="0"/>
            </w:tcBorders>
            <w:noWrap/>
            <w:vAlign w:val="center"/>
          </w:tcPr>
          <w:p w14:paraId="5C06115F">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支持医生线上开具的医嘱和线下医嘱的确认接收，处方医嘱的取药方式选择等医嘱处理的支撑。</w:t>
            </w:r>
          </w:p>
        </w:tc>
      </w:tr>
      <w:tr w14:paraId="660E8132">
        <w:tblPrEx>
          <w:tblCellMar>
            <w:top w:w="0" w:type="dxa"/>
            <w:left w:w="108" w:type="dxa"/>
            <w:bottom w:w="0" w:type="dxa"/>
            <w:right w:w="108" w:type="dxa"/>
          </w:tblCellMar>
        </w:tblPrEx>
        <w:trPr>
          <w:trHeight w:val="965"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177D3841">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3BBB9633">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报告单查询</w:t>
            </w:r>
          </w:p>
        </w:tc>
        <w:tc>
          <w:tcPr>
            <w:tcW w:w="5529" w:type="dxa"/>
            <w:tcBorders>
              <w:top w:val="nil"/>
              <w:left w:val="nil"/>
              <w:bottom w:val="single" w:color="auto" w:sz="4" w:space="0"/>
              <w:right w:val="single" w:color="auto" w:sz="4" w:space="0"/>
            </w:tcBorders>
            <w:noWrap/>
            <w:vAlign w:val="center"/>
          </w:tcPr>
          <w:p w14:paraId="4FA4692E">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报告单查询支持包含门诊报告、住院报告、体检报告，门诊报告单查询，实现指定日期查询，查询结果以时间先后顺序按科室分类排列。</w:t>
            </w:r>
          </w:p>
        </w:tc>
      </w:tr>
      <w:tr w14:paraId="49962EA7">
        <w:tblPrEx>
          <w:tblCellMar>
            <w:top w:w="0" w:type="dxa"/>
            <w:left w:w="108" w:type="dxa"/>
            <w:bottom w:w="0" w:type="dxa"/>
            <w:right w:w="108" w:type="dxa"/>
          </w:tblCellMar>
        </w:tblPrEx>
        <w:trPr>
          <w:trHeight w:val="737"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2F786988">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2AAE4123">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 xml:space="preserve"> 费用记录</w:t>
            </w:r>
          </w:p>
        </w:tc>
        <w:tc>
          <w:tcPr>
            <w:tcW w:w="5529" w:type="dxa"/>
            <w:tcBorders>
              <w:top w:val="nil"/>
              <w:left w:val="nil"/>
              <w:bottom w:val="single" w:color="auto" w:sz="4" w:space="0"/>
              <w:right w:val="single" w:color="auto" w:sz="4" w:space="0"/>
            </w:tcBorders>
            <w:noWrap/>
            <w:vAlign w:val="center"/>
          </w:tcPr>
          <w:p w14:paraId="5F6ECBD6">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支持按照时间轴，查询历史门诊费用记录，包含就诊时间、费用类别、已扣费用、未扣费用、合计费用、费用明细等。</w:t>
            </w:r>
          </w:p>
        </w:tc>
      </w:tr>
      <w:tr w14:paraId="51AEE11C">
        <w:tblPrEx>
          <w:tblCellMar>
            <w:top w:w="0" w:type="dxa"/>
            <w:left w:w="108" w:type="dxa"/>
            <w:bottom w:w="0" w:type="dxa"/>
            <w:right w:w="108" w:type="dxa"/>
          </w:tblCellMar>
        </w:tblPrEx>
        <w:trPr>
          <w:trHeight w:val="1038"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62D6D05A">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2A66601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就诊记录</w:t>
            </w:r>
          </w:p>
        </w:tc>
        <w:tc>
          <w:tcPr>
            <w:tcW w:w="5529" w:type="dxa"/>
            <w:tcBorders>
              <w:top w:val="nil"/>
              <w:left w:val="nil"/>
              <w:bottom w:val="single" w:color="auto" w:sz="4" w:space="0"/>
              <w:right w:val="single" w:color="auto" w:sz="4" w:space="0"/>
            </w:tcBorders>
            <w:noWrap/>
            <w:vAlign w:val="center"/>
          </w:tcPr>
          <w:p w14:paraId="02907D09">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就诊记录分为门诊就诊记录和住院就诊记录，支持就诊记录以时间为轴，按科室分类记录，包括挂号科室、挂号医生、诊断、医嘱、就诊时间等，支持指定时间查询。</w:t>
            </w:r>
          </w:p>
        </w:tc>
      </w:tr>
      <w:tr w14:paraId="1CC8AA33">
        <w:tblPrEx>
          <w:tblCellMar>
            <w:top w:w="0" w:type="dxa"/>
            <w:left w:w="108" w:type="dxa"/>
            <w:bottom w:w="0" w:type="dxa"/>
            <w:right w:w="108" w:type="dxa"/>
          </w:tblCellMar>
        </w:tblPrEx>
        <w:trPr>
          <w:trHeight w:val="900" w:hRule="atLeast"/>
        </w:trPr>
        <w:tc>
          <w:tcPr>
            <w:tcW w:w="1413" w:type="dxa"/>
            <w:vMerge w:val="restart"/>
            <w:tcBorders>
              <w:top w:val="nil"/>
              <w:left w:val="single" w:color="auto" w:sz="4" w:space="0"/>
              <w:bottom w:val="single" w:color="auto" w:sz="4" w:space="0"/>
              <w:right w:val="single" w:color="auto" w:sz="4" w:space="0"/>
            </w:tcBorders>
            <w:noWrap w:val="0"/>
            <w:vAlign w:val="center"/>
          </w:tcPr>
          <w:p w14:paraId="0D04FD5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住院服务</w:t>
            </w:r>
          </w:p>
        </w:tc>
        <w:tc>
          <w:tcPr>
            <w:tcW w:w="1417" w:type="dxa"/>
            <w:tcBorders>
              <w:top w:val="nil"/>
              <w:left w:val="nil"/>
              <w:bottom w:val="single" w:color="auto" w:sz="4" w:space="0"/>
              <w:right w:val="single" w:color="auto" w:sz="4" w:space="0"/>
            </w:tcBorders>
            <w:noWrap w:val="0"/>
            <w:vAlign w:val="center"/>
          </w:tcPr>
          <w:p w14:paraId="44A78FF5">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住院费用  明细</w:t>
            </w:r>
          </w:p>
        </w:tc>
        <w:tc>
          <w:tcPr>
            <w:tcW w:w="5529" w:type="dxa"/>
            <w:tcBorders>
              <w:top w:val="nil"/>
              <w:left w:val="nil"/>
              <w:bottom w:val="single" w:color="auto" w:sz="4" w:space="0"/>
              <w:right w:val="single" w:color="auto" w:sz="4" w:space="0"/>
            </w:tcBorders>
            <w:noWrap/>
            <w:vAlign w:val="center"/>
          </w:tcPr>
          <w:p w14:paraId="7AF845D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支持按日或按周期查询患者历次住院费用清单、住院费用清单、结算清单。实现次日上午10点推送前日该患者日清单信息。</w:t>
            </w:r>
          </w:p>
        </w:tc>
      </w:tr>
      <w:tr w14:paraId="636468E4">
        <w:tblPrEx>
          <w:tblCellMar>
            <w:top w:w="0" w:type="dxa"/>
            <w:left w:w="108" w:type="dxa"/>
            <w:bottom w:w="0" w:type="dxa"/>
            <w:right w:w="108" w:type="dxa"/>
          </w:tblCellMar>
        </w:tblPrEx>
        <w:trPr>
          <w:trHeight w:val="1001"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42CAC075">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1700595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住院充值</w:t>
            </w:r>
          </w:p>
        </w:tc>
        <w:tc>
          <w:tcPr>
            <w:tcW w:w="5529" w:type="dxa"/>
            <w:tcBorders>
              <w:top w:val="nil"/>
              <w:left w:val="nil"/>
              <w:bottom w:val="single" w:color="auto" w:sz="4" w:space="0"/>
              <w:right w:val="single" w:color="auto" w:sz="4" w:space="0"/>
            </w:tcBorders>
            <w:noWrap/>
            <w:vAlign w:val="center"/>
          </w:tcPr>
          <w:p w14:paraId="2EDCE8BA">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自助充值支持包含常用支付方式支付宝、微信支付充值，实现移动端住院充值，设置推荐金额快捷预缴通道和其他金额精准预缴通道；支持实时查询充值历史记录。</w:t>
            </w:r>
          </w:p>
        </w:tc>
      </w:tr>
      <w:tr w14:paraId="334359A6">
        <w:tblPrEx>
          <w:tblCellMar>
            <w:top w:w="0" w:type="dxa"/>
            <w:left w:w="108" w:type="dxa"/>
            <w:bottom w:w="0" w:type="dxa"/>
            <w:right w:w="108" w:type="dxa"/>
          </w:tblCellMar>
        </w:tblPrEx>
        <w:trPr>
          <w:trHeight w:val="3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47C0E5F1">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7A0F6186">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充值退费</w:t>
            </w:r>
          </w:p>
        </w:tc>
        <w:tc>
          <w:tcPr>
            <w:tcW w:w="5529" w:type="dxa"/>
            <w:tcBorders>
              <w:top w:val="nil"/>
              <w:left w:val="nil"/>
              <w:bottom w:val="single" w:color="auto" w:sz="4" w:space="0"/>
              <w:right w:val="single" w:color="auto" w:sz="4" w:space="0"/>
            </w:tcBorders>
            <w:noWrap w:val="0"/>
            <w:vAlign w:val="center"/>
          </w:tcPr>
          <w:p w14:paraId="1230C53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支持在手机端发起线上充值订单的退费操作。</w:t>
            </w:r>
          </w:p>
        </w:tc>
      </w:tr>
      <w:tr w14:paraId="6BDC0748">
        <w:tblPrEx>
          <w:tblCellMar>
            <w:top w:w="0" w:type="dxa"/>
            <w:left w:w="108" w:type="dxa"/>
            <w:bottom w:w="0" w:type="dxa"/>
            <w:right w:w="108" w:type="dxa"/>
          </w:tblCellMar>
        </w:tblPrEx>
        <w:trPr>
          <w:trHeight w:val="965"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2A770EAB">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4903065C">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报告单查询</w:t>
            </w:r>
          </w:p>
        </w:tc>
        <w:tc>
          <w:tcPr>
            <w:tcW w:w="5529" w:type="dxa"/>
            <w:tcBorders>
              <w:top w:val="nil"/>
              <w:left w:val="nil"/>
              <w:bottom w:val="single" w:color="auto" w:sz="4" w:space="0"/>
              <w:right w:val="single" w:color="auto" w:sz="4" w:space="0"/>
            </w:tcBorders>
            <w:noWrap/>
            <w:vAlign w:val="center"/>
          </w:tcPr>
          <w:p w14:paraId="5917C008">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报告单查询支持包含门诊报告、住院报告、体检报告，实现日期区间设置查询，查询结果以时间顺序排列。住院报告单查询实现住院检查检验报告及影像浏览。</w:t>
            </w:r>
          </w:p>
        </w:tc>
      </w:tr>
      <w:tr w14:paraId="71181687">
        <w:tblPrEx>
          <w:tblCellMar>
            <w:top w:w="0" w:type="dxa"/>
            <w:left w:w="108" w:type="dxa"/>
            <w:bottom w:w="0" w:type="dxa"/>
            <w:right w:w="108" w:type="dxa"/>
          </w:tblCellMar>
        </w:tblPrEx>
        <w:trPr>
          <w:trHeight w:val="6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7B26DDC8">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4FB43009">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住院记录</w:t>
            </w:r>
          </w:p>
        </w:tc>
        <w:tc>
          <w:tcPr>
            <w:tcW w:w="5529" w:type="dxa"/>
            <w:tcBorders>
              <w:top w:val="nil"/>
              <w:left w:val="nil"/>
              <w:bottom w:val="single" w:color="auto" w:sz="4" w:space="0"/>
              <w:right w:val="single" w:color="auto" w:sz="4" w:space="0"/>
            </w:tcBorders>
            <w:noWrap/>
            <w:vAlign w:val="center"/>
          </w:tcPr>
          <w:p w14:paraId="530B2FBF">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支持呈现病人基本情况、入院情况、入院诊断、出院情况等信息。</w:t>
            </w:r>
          </w:p>
        </w:tc>
      </w:tr>
      <w:tr w14:paraId="28C4FB9B">
        <w:tblPrEx>
          <w:tblCellMar>
            <w:top w:w="0" w:type="dxa"/>
            <w:left w:w="108" w:type="dxa"/>
            <w:bottom w:w="0" w:type="dxa"/>
            <w:right w:w="108" w:type="dxa"/>
          </w:tblCellMar>
        </w:tblPrEx>
        <w:trPr>
          <w:trHeight w:val="6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77C023FB">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5D3AD40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满意度调查</w:t>
            </w:r>
          </w:p>
        </w:tc>
        <w:tc>
          <w:tcPr>
            <w:tcW w:w="5529" w:type="dxa"/>
            <w:tcBorders>
              <w:top w:val="nil"/>
              <w:left w:val="nil"/>
              <w:bottom w:val="single" w:color="auto" w:sz="4" w:space="0"/>
              <w:right w:val="single" w:color="auto" w:sz="4" w:space="0"/>
            </w:tcBorders>
            <w:noWrap/>
            <w:vAlign w:val="center"/>
          </w:tcPr>
          <w:p w14:paraId="03BBBD6A">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支持对用户进行住院满意度调查，院方可据用户反馈信息提高服务质量。</w:t>
            </w:r>
          </w:p>
        </w:tc>
      </w:tr>
      <w:tr w14:paraId="5C99E5CA">
        <w:tblPrEx>
          <w:tblCellMar>
            <w:top w:w="0" w:type="dxa"/>
            <w:left w:w="108" w:type="dxa"/>
            <w:bottom w:w="0" w:type="dxa"/>
            <w:right w:w="108" w:type="dxa"/>
          </w:tblCellMar>
        </w:tblPrEx>
        <w:trPr>
          <w:trHeight w:val="6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5CA328C5">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4F2926C1">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费用催缴</w:t>
            </w:r>
          </w:p>
        </w:tc>
        <w:tc>
          <w:tcPr>
            <w:tcW w:w="5529" w:type="dxa"/>
            <w:tcBorders>
              <w:top w:val="nil"/>
              <w:left w:val="nil"/>
              <w:bottom w:val="single" w:color="auto" w:sz="4" w:space="0"/>
              <w:right w:val="single" w:color="auto" w:sz="4" w:space="0"/>
            </w:tcBorders>
            <w:noWrap/>
            <w:vAlign w:val="center"/>
          </w:tcPr>
          <w:p w14:paraId="579A3C0A">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支持当住院预交金余额不足时，向用户推送缴费提醒。</w:t>
            </w:r>
          </w:p>
        </w:tc>
      </w:tr>
      <w:tr w14:paraId="5C49BA03">
        <w:tblPrEx>
          <w:tblCellMar>
            <w:top w:w="0" w:type="dxa"/>
            <w:left w:w="108" w:type="dxa"/>
            <w:bottom w:w="0" w:type="dxa"/>
            <w:right w:w="108" w:type="dxa"/>
          </w:tblCellMar>
        </w:tblPrEx>
        <w:trPr>
          <w:trHeight w:val="6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4DB08F42">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5F00AA46">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出院带药 提醒</w:t>
            </w:r>
          </w:p>
        </w:tc>
        <w:tc>
          <w:tcPr>
            <w:tcW w:w="5529" w:type="dxa"/>
            <w:tcBorders>
              <w:top w:val="nil"/>
              <w:left w:val="nil"/>
              <w:bottom w:val="single" w:color="auto" w:sz="4" w:space="0"/>
              <w:right w:val="single" w:color="auto" w:sz="4" w:space="0"/>
            </w:tcBorders>
            <w:noWrap/>
            <w:vAlign w:val="center"/>
          </w:tcPr>
          <w:p w14:paraId="7827BDF8">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支持提醒用户出院带药和注意患者用药时间。</w:t>
            </w:r>
          </w:p>
        </w:tc>
      </w:tr>
      <w:tr w14:paraId="5515FE9D">
        <w:tblPrEx>
          <w:tblCellMar>
            <w:top w:w="0" w:type="dxa"/>
            <w:left w:w="108" w:type="dxa"/>
            <w:bottom w:w="0" w:type="dxa"/>
            <w:right w:w="108" w:type="dxa"/>
          </w:tblCellMar>
        </w:tblPrEx>
        <w:trPr>
          <w:trHeight w:val="755" w:hRule="atLeast"/>
        </w:trPr>
        <w:tc>
          <w:tcPr>
            <w:tcW w:w="1413" w:type="dxa"/>
            <w:vMerge w:val="restart"/>
            <w:tcBorders>
              <w:top w:val="nil"/>
              <w:left w:val="single" w:color="auto" w:sz="4" w:space="0"/>
              <w:bottom w:val="single" w:color="auto" w:sz="4" w:space="0"/>
              <w:right w:val="single" w:color="auto" w:sz="4" w:space="0"/>
            </w:tcBorders>
            <w:noWrap w:val="0"/>
            <w:vAlign w:val="center"/>
          </w:tcPr>
          <w:p w14:paraId="0E4B1929">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健康服务</w:t>
            </w:r>
          </w:p>
        </w:tc>
        <w:tc>
          <w:tcPr>
            <w:tcW w:w="1417" w:type="dxa"/>
            <w:tcBorders>
              <w:top w:val="nil"/>
              <w:left w:val="nil"/>
              <w:bottom w:val="single" w:color="auto" w:sz="4" w:space="0"/>
              <w:right w:val="single" w:color="auto" w:sz="4" w:space="0"/>
            </w:tcBorders>
            <w:noWrap w:val="0"/>
            <w:vAlign w:val="center"/>
          </w:tcPr>
          <w:p w14:paraId="05E118D8">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随访管理</w:t>
            </w:r>
          </w:p>
        </w:tc>
        <w:tc>
          <w:tcPr>
            <w:tcW w:w="5529" w:type="dxa"/>
            <w:tcBorders>
              <w:top w:val="nil"/>
              <w:left w:val="nil"/>
              <w:bottom w:val="single" w:color="auto" w:sz="4" w:space="0"/>
              <w:right w:val="single" w:color="auto" w:sz="4" w:space="0"/>
            </w:tcBorders>
            <w:noWrap/>
            <w:vAlign w:val="center"/>
          </w:tcPr>
          <w:p w14:paraId="5FE2815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支持院方发来的随访信息的提醒、接收和反馈。支持接受随访记录的查询和随访医生的互动。</w:t>
            </w:r>
          </w:p>
        </w:tc>
      </w:tr>
      <w:tr w14:paraId="414B0BE7">
        <w:tblPrEx>
          <w:tblCellMar>
            <w:top w:w="0" w:type="dxa"/>
            <w:left w:w="108" w:type="dxa"/>
            <w:bottom w:w="0" w:type="dxa"/>
            <w:right w:w="108" w:type="dxa"/>
          </w:tblCellMar>
        </w:tblPrEx>
        <w:trPr>
          <w:trHeight w:val="9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649836B2">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3C54848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设备绑定</w:t>
            </w:r>
          </w:p>
        </w:tc>
        <w:tc>
          <w:tcPr>
            <w:tcW w:w="5529" w:type="dxa"/>
            <w:tcBorders>
              <w:top w:val="nil"/>
              <w:left w:val="nil"/>
              <w:bottom w:val="single" w:color="auto" w:sz="4" w:space="0"/>
              <w:right w:val="single" w:color="auto" w:sz="4" w:space="0"/>
            </w:tcBorders>
            <w:noWrap/>
            <w:vAlign w:val="center"/>
          </w:tcPr>
          <w:p w14:paraId="13FFF041">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支持绑定预设的第三方健康设备，实现血压、血糖仪、体脂称、胎心等健康设备绑定，绑定后可依托设备检测体征数据，并自动上传到平台。</w:t>
            </w:r>
          </w:p>
        </w:tc>
      </w:tr>
      <w:tr w14:paraId="0EAA5D8E">
        <w:tblPrEx>
          <w:tblCellMar>
            <w:top w:w="0" w:type="dxa"/>
            <w:left w:w="108" w:type="dxa"/>
            <w:bottom w:w="0" w:type="dxa"/>
            <w:right w:w="108" w:type="dxa"/>
          </w:tblCellMar>
        </w:tblPrEx>
        <w:trPr>
          <w:trHeight w:val="1073"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4F116CAE">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2F8D9C8E">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健康指标</w:t>
            </w:r>
          </w:p>
        </w:tc>
        <w:tc>
          <w:tcPr>
            <w:tcW w:w="5529" w:type="dxa"/>
            <w:tcBorders>
              <w:top w:val="nil"/>
              <w:left w:val="nil"/>
              <w:bottom w:val="single" w:color="auto" w:sz="4" w:space="0"/>
              <w:right w:val="single" w:color="auto" w:sz="4" w:space="0"/>
            </w:tcBorders>
            <w:noWrap/>
            <w:vAlign w:val="center"/>
          </w:tcPr>
          <w:p w14:paraId="6FD6D288">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支持根据绑定健康设备或者手动录入体重、血压、血糖等相关信息，智能生成指标趋势报表，支持指定日期查询和周月报报表查询，同时根据报表分析提供指标解读。</w:t>
            </w:r>
          </w:p>
        </w:tc>
      </w:tr>
      <w:tr w14:paraId="1569A400">
        <w:tblPrEx>
          <w:tblCellMar>
            <w:top w:w="0" w:type="dxa"/>
            <w:left w:w="108" w:type="dxa"/>
            <w:bottom w:w="0" w:type="dxa"/>
            <w:right w:w="108" w:type="dxa"/>
          </w:tblCellMar>
        </w:tblPrEx>
        <w:trPr>
          <w:trHeight w:val="3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6573EB38">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3AF8BBFA">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健康计划</w:t>
            </w:r>
          </w:p>
        </w:tc>
        <w:tc>
          <w:tcPr>
            <w:tcW w:w="5529" w:type="dxa"/>
            <w:tcBorders>
              <w:top w:val="nil"/>
              <w:left w:val="nil"/>
              <w:bottom w:val="single" w:color="auto" w:sz="4" w:space="0"/>
              <w:right w:val="single" w:color="auto" w:sz="4" w:space="0"/>
            </w:tcBorders>
            <w:noWrap/>
            <w:vAlign w:val="center"/>
          </w:tcPr>
          <w:p w14:paraId="1AF71E3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支持根据健康指标，提供相关健康计划。</w:t>
            </w:r>
          </w:p>
        </w:tc>
      </w:tr>
      <w:tr w14:paraId="6C274930">
        <w:tblPrEx>
          <w:tblCellMar>
            <w:top w:w="0" w:type="dxa"/>
            <w:left w:w="108" w:type="dxa"/>
            <w:bottom w:w="0" w:type="dxa"/>
            <w:right w:w="108" w:type="dxa"/>
          </w:tblCellMar>
        </w:tblPrEx>
        <w:trPr>
          <w:trHeight w:val="6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52253BA9">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113370E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健康评估</w:t>
            </w:r>
          </w:p>
        </w:tc>
        <w:tc>
          <w:tcPr>
            <w:tcW w:w="5529" w:type="dxa"/>
            <w:tcBorders>
              <w:top w:val="nil"/>
              <w:left w:val="nil"/>
              <w:bottom w:val="single" w:color="auto" w:sz="4" w:space="0"/>
              <w:right w:val="single" w:color="auto" w:sz="4" w:space="0"/>
            </w:tcBorders>
            <w:noWrap/>
            <w:vAlign w:val="center"/>
          </w:tcPr>
          <w:p w14:paraId="7FD0976A">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健康评估支持提供建议包括合理膳食、运动锻炼、日常作息，同时提供历史计划查询。</w:t>
            </w:r>
          </w:p>
        </w:tc>
      </w:tr>
      <w:tr w14:paraId="76A2432B">
        <w:tblPrEx>
          <w:tblCellMar>
            <w:top w:w="0" w:type="dxa"/>
            <w:left w:w="108" w:type="dxa"/>
            <w:bottom w:w="0" w:type="dxa"/>
            <w:right w:w="108" w:type="dxa"/>
          </w:tblCellMar>
        </w:tblPrEx>
        <w:trPr>
          <w:trHeight w:val="1319"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06083F27">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4D6370A8">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健康宣教</w:t>
            </w:r>
          </w:p>
        </w:tc>
        <w:tc>
          <w:tcPr>
            <w:tcW w:w="5529" w:type="dxa"/>
            <w:tcBorders>
              <w:top w:val="nil"/>
              <w:left w:val="nil"/>
              <w:bottom w:val="single" w:color="auto" w:sz="4" w:space="0"/>
              <w:right w:val="single" w:color="auto" w:sz="4" w:space="0"/>
            </w:tcBorders>
            <w:noWrap/>
            <w:vAlign w:val="center"/>
          </w:tcPr>
          <w:p w14:paraId="51B9E06F">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支持患者查询相关健康宣教、健康科普内容。宣教内容包含中医养生、孕产保健、心理健康、急救课堂、传染病防治、防治慢病、儿童保健等；患者可根据分类自行选择相关宣教内容学习。</w:t>
            </w:r>
          </w:p>
        </w:tc>
      </w:tr>
      <w:tr w14:paraId="75393238">
        <w:tblPrEx>
          <w:tblCellMar>
            <w:top w:w="0" w:type="dxa"/>
            <w:left w:w="108" w:type="dxa"/>
            <w:bottom w:w="0" w:type="dxa"/>
            <w:right w:w="108" w:type="dxa"/>
          </w:tblCellMar>
        </w:tblPrEx>
        <w:trPr>
          <w:trHeight w:val="9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61A95FEF">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4BC314AC">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健康字典</w:t>
            </w:r>
          </w:p>
        </w:tc>
        <w:tc>
          <w:tcPr>
            <w:tcW w:w="5529" w:type="dxa"/>
            <w:tcBorders>
              <w:top w:val="nil"/>
              <w:left w:val="nil"/>
              <w:bottom w:val="single" w:color="auto" w:sz="4" w:space="0"/>
              <w:right w:val="single" w:color="auto" w:sz="4" w:space="0"/>
            </w:tcBorders>
            <w:noWrap/>
            <w:vAlign w:val="center"/>
          </w:tcPr>
          <w:p w14:paraId="3BEBADA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主要包含疾病百科与药品查询，支持提供疾病库和药品知识字典，用户可对知识库内容进行检索查询，查看相关知识内容。</w:t>
            </w:r>
          </w:p>
        </w:tc>
      </w:tr>
      <w:tr w14:paraId="2E031FAB">
        <w:tblPrEx>
          <w:tblCellMar>
            <w:top w:w="0" w:type="dxa"/>
            <w:left w:w="108" w:type="dxa"/>
            <w:bottom w:w="0" w:type="dxa"/>
            <w:right w:w="108" w:type="dxa"/>
          </w:tblCellMar>
        </w:tblPrEx>
        <w:trPr>
          <w:trHeight w:val="701" w:hRule="atLeast"/>
        </w:trPr>
        <w:tc>
          <w:tcPr>
            <w:tcW w:w="1413" w:type="dxa"/>
            <w:vMerge w:val="restart"/>
            <w:tcBorders>
              <w:top w:val="nil"/>
              <w:left w:val="single" w:color="auto" w:sz="4" w:space="0"/>
              <w:bottom w:val="single" w:color="auto" w:sz="4" w:space="0"/>
              <w:right w:val="single" w:color="auto" w:sz="4" w:space="0"/>
            </w:tcBorders>
            <w:noWrap/>
            <w:vAlign w:val="center"/>
          </w:tcPr>
          <w:p w14:paraId="1D4EA51B">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综合服务</w:t>
            </w:r>
          </w:p>
        </w:tc>
        <w:tc>
          <w:tcPr>
            <w:tcW w:w="1417" w:type="dxa"/>
            <w:tcBorders>
              <w:top w:val="nil"/>
              <w:left w:val="nil"/>
              <w:bottom w:val="single" w:color="auto" w:sz="4" w:space="0"/>
              <w:right w:val="single" w:color="auto" w:sz="4" w:space="0"/>
            </w:tcBorders>
            <w:noWrap w:val="0"/>
            <w:vAlign w:val="center"/>
          </w:tcPr>
          <w:p w14:paraId="64461A7E">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医院简介</w:t>
            </w:r>
          </w:p>
        </w:tc>
        <w:tc>
          <w:tcPr>
            <w:tcW w:w="5529" w:type="dxa"/>
            <w:tcBorders>
              <w:top w:val="nil"/>
              <w:left w:val="nil"/>
              <w:bottom w:val="single" w:color="auto" w:sz="4" w:space="0"/>
              <w:right w:val="single" w:color="auto" w:sz="4" w:space="0"/>
            </w:tcBorders>
            <w:noWrap/>
            <w:vAlign w:val="center"/>
          </w:tcPr>
          <w:p w14:paraId="31480C48">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支持医院简介信息展示，呈现医院的办院宗旨、文化历史、荣誉、特色、医院概况等信息，展现医院风采。</w:t>
            </w:r>
          </w:p>
        </w:tc>
      </w:tr>
      <w:tr w14:paraId="3716DE94">
        <w:tblPrEx>
          <w:tblCellMar>
            <w:top w:w="0" w:type="dxa"/>
            <w:left w:w="108" w:type="dxa"/>
            <w:bottom w:w="0" w:type="dxa"/>
            <w:right w:w="108" w:type="dxa"/>
          </w:tblCellMar>
        </w:tblPrEx>
        <w:trPr>
          <w:trHeight w:val="6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35118319">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2878EB21">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地图导航</w:t>
            </w:r>
          </w:p>
        </w:tc>
        <w:tc>
          <w:tcPr>
            <w:tcW w:w="5529" w:type="dxa"/>
            <w:tcBorders>
              <w:top w:val="nil"/>
              <w:left w:val="nil"/>
              <w:bottom w:val="single" w:color="auto" w:sz="4" w:space="0"/>
              <w:right w:val="single" w:color="auto" w:sz="4" w:space="0"/>
            </w:tcBorders>
            <w:noWrap/>
            <w:vAlign w:val="center"/>
          </w:tcPr>
          <w:p w14:paraId="47A062B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支持用户可跳转使用百度地图, 通过直观的地图展示，并提供公交、自驾车、步行路线指引方案。</w:t>
            </w:r>
          </w:p>
        </w:tc>
      </w:tr>
      <w:tr w14:paraId="5E7FEB86">
        <w:tblPrEx>
          <w:tblCellMar>
            <w:top w:w="0" w:type="dxa"/>
            <w:left w:w="108" w:type="dxa"/>
            <w:bottom w:w="0" w:type="dxa"/>
            <w:right w:w="108" w:type="dxa"/>
          </w:tblCellMar>
        </w:tblPrEx>
        <w:trPr>
          <w:trHeight w:val="9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6F9A97DA">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22063D00">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院内导航</w:t>
            </w:r>
          </w:p>
        </w:tc>
        <w:tc>
          <w:tcPr>
            <w:tcW w:w="5529" w:type="dxa"/>
            <w:tcBorders>
              <w:top w:val="nil"/>
              <w:left w:val="nil"/>
              <w:bottom w:val="single" w:color="auto" w:sz="4" w:space="0"/>
              <w:right w:val="single" w:color="auto" w:sz="4" w:space="0"/>
            </w:tcBorders>
            <w:noWrap/>
            <w:vAlign w:val="center"/>
          </w:tcPr>
          <w:p w14:paraId="075387E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支持楼层导航按照楼房分布逐层静态展现院内科室分布，提高患者就医效率，关键字或拼音首码快速查找精准定位科室位置。</w:t>
            </w:r>
          </w:p>
        </w:tc>
      </w:tr>
      <w:tr w14:paraId="6E054192">
        <w:tblPrEx>
          <w:tblCellMar>
            <w:top w:w="0" w:type="dxa"/>
            <w:left w:w="108" w:type="dxa"/>
            <w:bottom w:w="0" w:type="dxa"/>
            <w:right w:w="108" w:type="dxa"/>
          </w:tblCellMar>
        </w:tblPrEx>
        <w:trPr>
          <w:trHeight w:val="9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4E23AE63">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37147884">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科室介绍</w:t>
            </w:r>
          </w:p>
        </w:tc>
        <w:tc>
          <w:tcPr>
            <w:tcW w:w="5529" w:type="dxa"/>
            <w:tcBorders>
              <w:top w:val="nil"/>
              <w:left w:val="nil"/>
              <w:bottom w:val="single" w:color="auto" w:sz="4" w:space="0"/>
              <w:right w:val="single" w:color="auto" w:sz="4" w:space="0"/>
            </w:tcBorders>
            <w:noWrap/>
            <w:vAlign w:val="center"/>
          </w:tcPr>
          <w:p w14:paraId="583B9D91">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支持科室介绍从院区到科室逐级分布，同时可以根据科室名称快速查找，呈现科室相关配套设施、医技技术、荣誉成绩、主要架构等，供患者查阅。</w:t>
            </w:r>
          </w:p>
        </w:tc>
      </w:tr>
      <w:tr w14:paraId="048B58F1">
        <w:tblPrEx>
          <w:tblCellMar>
            <w:top w:w="0" w:type="dxa"/>
            <w:left w:w="108" w:type="dxa"/>
            <w:bottom w:w="0" w:type="dxa"/>
            <w:right w:w="108" w:type="dxa"/>
          </w:tblCellMar>
        </w:tblPrEx>
        <w:trPr>
          <w:trHeight w:val="683"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1118107A">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34FCB187">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专家介绍</w:t>
            </w:r>
          </w:p>
        </w:tc>
        <w:tc>
          <w:tcPr>
            <w:tcW w:w="5529" w:type="dxa"/>
            <w:tcBorders>
              <w:top w:val="nil"/>
              <w:left w:val="nil"/>
              <w:bottom w:val="single" w:color="auto" w:sz="4" w:space="0"/>
              <w:right w:val="single" w:color="auto" w:sz="4" w:space="0"/>
            </w:tcBorders>
            <w:noWrap/>
            <w:vAlign w:val="center"/>
          </w:tcPr>
          <w:p w14:paraId="1004F4E1">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支持科室分类查询主任、副主任等医师的简介信息及排班情况，并可以快速预约。</w:t>
            </w:r>
          </w:p>
        </w:tc>
      </w:tr>
      <w:tr w14:paraId="66C3F669">
        <w:tblPrEx>
          <w:tblCellMar>
            <w:top w:w="0" w:type="dxa"/>
            <w:left w:w="108" w:type="dxa"/>
            <w:bottom w:w="0" w:type="dxa"/>
            <w:right w:w="108" w:type="dxa"/>
          </w:tblCellMar>
        </w:tblPrEx>
        <w:trPr>
          <w:trHeight w:val="947"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0683E16E">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7623FD06">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就诊指南</w:t>
            </w:r>
          </w:p>
        </w:tc>
        <w:tc>
          <w:tcPr>
            <w:tcW w:w="5529" w:type="dxa"/>
            <w:tcBorders>
              <w:top w:val="nil"/>
              <w:left w:val="nil"/>
              <w:bottom w:val="single" w:color="auto" w:sz="4" w:space="0"/>
              <w:right w:val="single" w:color="auto" w:sz="4" w:space="0"/>
            </w:tcBorders>
            <w:noWrap/>
            <w:vAlign w:val="center"/>
          </w:tcPr>
          <w:p w14:paraId="7096F9F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就诊指南支持以类别划分支持图片、文字方式展示，包括：门急诊服务、出入院服务、患者权利和义务、体检服务、其他、检查须知，同时提供关键字查找快速定位。</w:t>
            </w:r>
          </w:p>
        </w:tc>
      </w:tr>
      <w:tr w14:paraId="36A1B60C">
        <w:tblPrEx>
          <w:tblCellMar>
            <w:top w:w="0" w:type="dxa"/>
            <w:left w:w="108" w:type="dxa"/>
            <w:bottom w:w="0" w:type="dxa"/>
            <w:right w:w="108" w:type="dxa"/>
          </w:tblCellMar>
        </w:tblPrEx>
        <w:trPr>
          <w:trHeight w:val="600" w:hRule="atLeast"/>
        </w:trPr>
        <w:tc>
          <w:tcPr>
            <w:tcW w:w="1413" w:type="dxa"/>
            <w:vMerge w:val="restart"/>
            <w:tcBorders>
              <w:top w:val="nil"/>
              <w:left w:val="single" w:color="auto" w:sz="4" w:space="0"/>
              <w:bottom w:val="single" w:color="auto" w:sz="4" w:space="0"/>
              <w:right w:val="single" w:color="auto" w:sz="4" w:space="0"/>
            </w:tcBorders>
            <w:noWrap/>
            <w:vAlign w:val="center"/>
          </w:tcPr>
          <w:p w14:paraId="7B69EC8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个人中心</w:t>
            </w:r>
          </w:p>
        </w:tc>
        <w:tc>
          <w:tcPr>
            <w:tcW w:w="1417" w:type="dxa"/>
            <w:tcBorders>
              <w:top w:val="nil"/>
              <w:left w:val="nil"/>
              <w:bottom w:val="single" w:color="auto" w:sz="4" w:space="0"/>
              <w:right w:val="single" w:color="auto" w:sz="4" w:space="0"/>
            </w:tcBorders>
            <w:noWrap w:val="0"/>
            <w:vAlign w:val="center"/>
          </w:tcPr>
          <w:p w14:paraId="5ADC738E">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基本信息</w:t>
            </w:r>
          </w:p>
        </w:tc>
        <w:tc>
          <w:tcPr>
            <w:tcW w:w="5529" w:type="dxa"/>
            <w:tcBorders>
              <w:top w:val="nil"/>
              <w:left w:val="nil"/>
              <w:bottom w:val="single" w:color="auto" w:sz="4" w:space="0"/>
              <w:right w:val="single" w:color="auto" w:sz="4" w:space="0"/>
            </w:tcBorders>
            <w:noWrap/>
            <w:vAlign w:val="center"/>
          </w:tcPr>
          <w:p w14:paraId="28747DC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支持个人基本信息查询及维护，常用收货地址的维护。</w:t>
            </w:r>
          </w:p>
        </w:tc>
      </w:tr>
      <w:tr w14:paraId="0EF94DE0">
        <w:tblPrEx>
          <w:tblCellMar>
            <w:top w:w="0" w:type="dxa"/>
            <w:left w:w="108" w:type="dxa"/>
            <w:bottom w:w="0" w:type="dxa"/>
            <w:right w:w="108" w:type="dxa"/>
          </w:tblCellMar>
        </w:tblPrEx>
        <w:trPr>
          <w:trHeight w:val="719"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3E2FA6D3">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4599AD65">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我的订单</w:t>
            </w:r>
          </w:p>
        </w:tc>
        <w:tc>
          <w:tcPr>
            <w:tcW w:w="5529" w:type="dxa"/>
            <w:tcBorders>
              <w:top w:val="nil"/>
              <w:left w:val="nil"/>
              <w:bottom w:val="single" w:color="auto" w:sz="4" w:space="0"/>
              <w:right w:val="single" w:color="auto" w:sz="4" w:space="0"/>
            </w:tcBorders>
            <w:noWrap/>
            <w:vAlign w:val="center"/>
          </w:tcPr>
          <w:p w14:paraId="68FE6196">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支持查看平台订单，如服务类订单（图文咨询）、商城订单、处方药品订单等。</w:t>
            </w:r>
          </w:p>
        </w:tc>
      </w:tr>
      <w:tr w14:paraId="2797453C">
        <w:tblPrEx>
          <w:tblCellMar>
            <w:top w:w="0" w:type="dxa"/>
            <w:left w:w="108" w:type="dxa"/>
            <w:bottom w:w="0" w:type="dxa"/>
            <w:right w:w="108" w:type="dxa"/>
          </w:tblCellMar>
        </w:tblPrEx>
        <w:trPr>
          <w:trHeight w:val="3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488313A3">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0633163E">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我的服务</w:t>
            </w:r>
          </w:p>
        </w:tc>
        <w:tc>
          <w:tcPr>
            <w:tcW w:w="5529" w:type="dxa"/>
            <w:tcBorders>
              <w:top w:val="nil"/>
              <w:left w:val="nil"/>
              <w:bottom w:val="single" w:color="auto" w:sz="4" w:space="0"/>
              <w:right w:val="single" w:color="auto" w:sz="4" w:space="0"/>
            </w:tcBorders>
            <w:noWrap/>
            <w:vAlign w:val="center"/>
          </w:tcPr>
          <w:p w14:paraId="5B728813">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支持服务类订单进行查看、处理操作。</w:t>
            </w:r>
          </w:p>
        </w:tc>
      </w:tr>
      <w:tr w14:paraId="1C380A54">
        <w:tblPrEx>
          <w:tblCellMar>
            <w:top w:w="0" w:type="dxa"/>
            <w:left w:w="108" w:type="dxa"/>
            <w:bottom w:w="0" w:type="dxa"/>
            <w:right w:w="108" w:type="dxa"/>
          </w:tblCellMar>
        </w:tblPrEx>
        <w:trPr>
          <w:trHeight w:val="9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37BF80B2">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645EC126">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门诊满意度调查</w:t>
            </w:r>
          </w:p>
        </w:tc>
        <w:tc>
          <w:tcPr>
            <w:tcW w:w="5529" w:type="dxa"/>
            <w:tcBorders>
              <w:top w:val="nil"/>
              <w:left w:val="nil"/>
              <w:bottom w:val="single" w:color="auto" w:sz="4" w:space="0"/>
              <w:right w:val="single" w:color="auto" w:sz="4" w:space="0"/>
            </w:tcBorders>
            <w:noWrap/>
            <w:vAlign w:val="center"/>
          </w:tcPr>
          <w:p w14:paraId="1FC78945">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支持患者就诊后智能生成对应的满意度调查问卷，患者根据实际就诊情况给出评价及建议，后台可以对问卷结果生成分析统计报表。</w:t>
            </w:r>
          </w:p>
        </w:tc>
      </w:tr>
      <w:tr w14:paraId="29767B9B">
        <w:tblPrEx>
          <w:tblCellMar>
            <w:top w:w="0" w:type="dxa"/>
            <w:left w:w="108" w:type="dxa"/>
            <w:bottom w:w="0" w:type="dxa"/>
            <w:right w:w="108" w:type="dxa"/>
          </w:tblCellMar>
        </w:tblPrEx>
        <w:trPr>
          <w:trHeight w:val="15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312B11A4">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0AF346DC">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就诊卡管理</w:t>
            </w:r>
          </w:p>
        </w:tc>
        <w:tc>
          <w:tcPr>
            <w:tcW w:w="5529" w:type="dxa"/>
            <w:tcBorders>
              <w:top w:val="nil"/>
              <w:left w:val="nil"/>
              <w:bottom w:val="single" w:color="auto" w:sz="4" w:space="0"/>
              <w:right w:val="single" w:color="auto" w:sz="4" w:space="0"/>
            </w:tcBorders>
            <w:noWrap/>
            <w:vAlign w:val="center"/>
          </w:tcPr>
          <w:p w14:paraId="70C64CD5">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用户可绑定包括家人在内的多张就诊卡至个人账号中，并实现管理需要，支撑就诊卡切；支持将现有的实体卡进行绑定实现电子化管理；对没有本院就诊卡的患者在线进行注册生成一张虚拟的卡号，并能用于就诊。</w:t>
            </w:r>
          </w:p>
        </w:tc>
      </w:tr>
      <w:tr w14:paraId="201FB270">
        <w:tblPrEx>
          <w:tblCellMar>
            <w:top w:w="0" w:type="dxa"/>
            <w:left w:w="108" w:type="dxa"/>
            <w:bottom w:w="0" w:type="dxa"/>
            <w:right w:w="108" w:type="dxa"/>
          </w:tblCellMar>
        </w:tblPrEx>
        <w:trPr>
          <w:trHeight w:val="6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4311DE50">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07D27FEF">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实人认证</w:t>
            </w:r>
          </w:p>
        </w:tc>
        <w:tc>
          <w:tcPr>
            <w:tcW w:w="5529" w:type="dxa"/>
            <w:tcBorders>
              <w:top w:val="nil"/>
              <w:left w:val="nil"/>
              <w:bottom w:val="single" w:color="auto" w:sz="4" w:space="0"/>
              <w:right w:val="single" w:color="auto" w:sz="4" w:space="0"/>
            </w:tcBorders>
            <w:noWrap/>
            <w:vAlign w:val="center"/>
          </w:tcPr>
          <w:p w14:paraId="68FF873A">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支持通过第三方实人认证能力，用户可在线完成本人或家庭成员的实人认证。</w:t>
            </w:r>
          </w:p>
        </w:tc>
      </w:tr>
      <w:tr w14:paraId="4CC61CF3">
        <w:tblPrEx>
          <w:tblCellMar>
            <w:top w:w="0" w:type="dxa"/>
            <w:left w:w="108" w:type="dxa"/>
            <w:bottom w:w="0" w:type="dxa"/>
            <w:right w:w="108" w:type="dxa"/>
          </w:tblCellMar>
        </w:tblPrEx>
        <w:trPr>
          <w:trHeight w:val="9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0193E7FC">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28908293">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我的评论</w:t>
            </w:r>
          </w:p>
        </w:tc>
        <w:tc>
          <w:tcPr>
            <w:tcW w:w="5529" w:type="dxa"/>
            <w:tcBorders>
              <w:top w:val="nil"/>
              <w:left w:val="nil"/>
              <w:bottom w:val="single" w:color="auto" w:sz="4" w:space="0"/>
              <w:right w:val="single" w:color="auto" w:sz="4" w:space="0"/>
            </w:tcBorders>
            <w:noWrap/>
            <w:vAlign w:val="center"/>
          </w:tcPr>
          <w:p w14:paraId="4F9BA823">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支持用户可管理账号发表的历史评论，并对评论进行回复等操作；也可管理账号收到的评论，并对评论进行回复等操作。</w:t>
            </w:r>
          </w:p>
        </w:tc>
      </w:tr>
      <w:tr w14:paraId="0DCB0227">
        <w:tblPrEx>
          <w:tblCellMar>
            <w:top w:w="0" w:type="dxa"/>
            <w:left w:w="108" w:type="dxa"/>
            <w:bottom w:w="0" w:type="dxa"/>
            <w:right w:w="108" w:type="dxa"/>
          </w:tblCellMar>
        </w:tblPrEx>
        <w:trPr>
          <w:trHeight w:val="6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6B69BE5C">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30D75211">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扫一扫</w:t>
            </w:r>
          </w:p>
        </w:tc>
        <w:tc>
          <w:tcPr>
            <w:tcW w:w="5529" w:type="dxa"/>
            <w:tcBorders>
              <w:top w:val="nil"/>
              <w:left w:val="nil"/>
              <w:bottom w:val="single" w:color="auto" w:sz="4" w:space="0"/>
              <w:right w:val="single" w:color="auto" w:sz="4" w:space="0"/>
            </w:tcBorders>
            <w:noWrap/>
            <w:vAlign w:val="center"/>
          </w:tcPr>
          <w:p w14:paraId="7FCA60CB">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支持用户可扫描医生二维码或官方相关宣传二维码，直达医生详情页或对应活动页面。</w:t>
            </w:r>
          </w:p>
        </w:tc>
      </w:tr>
      <w:tr w14:paraId="405A60E5">
        <w:tblPrEx>
          <w:tblCellMar>
            <w:top w:w="0" w:type="dxa"/>
            <w:left w:w="108" w:type="dxa"/>
            <w:bottom w:w="0" w:type="dxa"/>
            <w:right w:w="108" w:type="dxa"/>
          </w:tblCellMar>
        </w:tblPrEx>
        <w:trPr>
          <w:trHeight w:val="9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40A1AC52">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6D002AF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消息管理设置</w:t>
            </w:r>
          </w:p>
        </w:tc>
        <w:tc>
          <w:tcPr>
            <w:tcW w:w="5529" w:type="dxa"/>
            <w:tcBorders>
              <w:top w:val="nil"/>
              <w:left w:val="nil"/>
              <w:bottom w:val="single" w:color="auto" w:sz="4" w:space="0"/>
              <w:right w:val="single" w:color="auto" w:sz="4" w:space="0"/>
            </w:tcBorders>
            <w:noWrap/>
            <w:vAlign w:val="center"/>
          </w:tcPr>
          <w:p w14:paraId="3ECE9085">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支持用户可自定义管理新消息通知开关、消息通知内容显示开关、免打扰模式设置等。</w:t>
            </w:r>
          </w:p>
        </w:tc>
      </w:tr>
      <w:tr w14:paraId="421DC439">
        <w:tblPrEx>
          <w:tblCellMar>
            <w:top w:w="0" w:type="dxa"/>
            <w:left w:w="108" w:type="dxa"/>
            <w:bottom w:w="0" w:type="dxa"/>
            <w:right w:w="108" w:type="dxa"/>
          </w:tblCellMar>
        </w:tblPrEx>
        <w:trPr>
          <w:trHeight w:val="9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590967F2">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41ADADAE">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消息中心</w:t>
            </w:r>
          </w:p>
        </w:tc>
        <w:tc>
          <w:tcPr>
            <w:tcW w:w="5529" w:type="dxa"/>
            <w:tcBorders>
              <w:top w:val="nil"/>
              <w:left w:val="nil"/>
              <w:bottom w:val="single" w:color="auto" w:sz="4" w:space="0"/>
              <w:right w:val="single" w:color="auto" w:sz="4" w:space="0"/>
            </w:tcBorders>
            <w:noWrap/>
            <w:vAlign w:val="center"/>
          </w:tcPr>
          <w:p w14:paraId="72BB9524">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支持提供统一接口实现相关业务提醒（预约、候诊、报告单、取药、缴费等业务提醒），具体由接入方情况而定。</w:t>
            </w:r>
          </w:p>
        </w:tc>
      </w:tr>
      <w:tr w14:paraId="43E74440">
        <w:tblPrEx>
          <w:tblCellMar>
            <w:top w:w="0" w:type="dxa"/>
            <w:left w:w="108" w:type="dxa"/>
            <w:bottom w:w="0" w:type="dxa"/>
            <w:right w:w="108" w:type="dxa"/>
          </w:tblCellMar>
        </w:tblPrEx>
        <w:trPr>
          <w:trHeight w:val="3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5EFE572C">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43FD8B46">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账号密码</w:t>
            </w:r>
          </w:p>
        </w:tc>
        <w:tc>
          <w:tcPr>
            <w:tcW w:w="5529" w:type="dxa"/>
            <w:tcBorders>
              <w:top w:val="nil"/>
              <w:left w:val="nil"/>
              <w:bottom w:val="single" w:color="auto" w:sz="4" w:space="0"/>
              <w:right w:val="single" w:color="auto" w:sz="4" w:space="0"/>
            </w:tcBorders>
            <w:noWrap/>
            <w:vAlign w:val="center"/>
          </w:tcPr>
          <w:p w14:paraId="45222F89">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支持用户密码重置操作。</w:t>
            </w:r>
          </w:p>
        </w:tc>
      </w:tr>
      <w:tr w14:paraId="21828A02">
        <w:tblPrEx>
          <w:tblCellMar>
            <w:top w:w="0" w:type="dxa"/>
            <w:left w:w="108" w:type="dxa"/>
            <w:bottom w:w="0" w:type="dxa"/>
            <w:right w:w="108" w:type="dxa"/>
          </w:tblCellMar>
        </w:tblPrEx>
        <w:trPr>
          <w:trHeight w:val="6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4BF6863C">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4C78E8D8">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关于我们</w:t>
            </w:r>
          </w:p>
        </w:tc>
        <w:tc>
          <w:tcPr>
            <w:tcW w:w="5529" w:type="dxa"/>
            <w:tcBorders>
              <w:top w:val="nil"/>
              <w:left w:val="nil"/>
              <w:bottom w:val="single" w:color="auto" w:sz="4" w:space="0"/>
              <w:right w:val="single" w:color="auto" w:sz="4" w:space="0"/>
            </w:tcBorders>
            <w:noWrap/>
            <w:vAlign w:val="center"/>
          </w:tcPr>
          <w:p w14:paraId="32585714">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支持查看APP欢迎页、版本说明内容；支持快捷跳转到应用市场对APP进行评分。</w:t>
            </w:r>
          </w:p>
        </w:tc>
      </w:tr>
      <w:tr w14:paraId="7ACD9BF2">
        <w:tblPrEx>
          <w:tblCellMar>
            <w:top w:w="0" w:type="dxa"/>
            <w:left w:w="108" w:type="dxa"/>
            <w:bottom w:w="0" w:type="dxa"/>
            <w:right w:w="108" w:type="dxa"/>
          </w:tblCellMar>
        </w:tblPrEx>
        <w:trPr>
          <w:trHeight w:val="9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5B9C4955">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4BC1DD77">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帮助与反馈</w:t>
            </w:r>
          </w:p>
        </w:tc>
        <w:tc>
          <w:tcPr>
            <w:tcW w:w="5529" w:type="dxa"/>
            <w:tcBorders>
              <w:top w:val="nil"/>
              <w:left w:val="nil"/>
              <w:bottom w:val="single" w:color="auto" w:sz="4" w:space="0"/>
              <w:right w:val="single" w:color="auto" w:sz="4" w:space="0"/>
            </w:tcBorders>
            <w:noWrap/>
            <w:vAlign w:val="center"/>
          </w:tcPr>
          <w:p w14:paraId="5AA0D98B">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支持用户可查阅产品常见的使用问题，并可在线向客服提交反馈，待客服回复后可实时查看客服回复内容详情，也可直接拨打客服电话获取更多帮助。</w:t>
            </w:r>
          </w:p>
        </w:tc>
      </w:tr>
      <w:tr w14:paraId="649A925C">
        <w:tblPrEx>
          <w:tblCellMar>
            <w:top w:w="0" w:type="dxa"/>
            <w:left w:w="108" w:type="dxa"/>
            <w:bottom w:w="0" w:type="dxa"/>
            <w:right w:w="108" w:type="dxa"/>
          </w:tblCellMar>
        </w:tblPrEx>
        <w:trPr>
          <w:trHeight w:val="300" w:hRule="atLeast"/>
        </w:trPr>
        <w:tc>
          <w:tcPr>
            <w:tcW w:w="8359" w:type="dxa"/>
            <w:gridSpan w:val="3"/>
            <w:tcBorders>
              <w:top w:val="single" w:color="auto" w:sz="4" w:space="0"/>
              <w:left w:val="single" w:color="auto" w:sz="4" w:space="0"/>
              <w:bottom w:val="single" w:color="auto" w:sz="4" w:space="0"/>
              <w:right w:val="single" w:color="auto" w:sz="4" w:space="0"/>
            </w:tcBorders>
            <w:noWrap w:val="0"/>
            <w:vAlign w:val="center"/>
          </w:tcPr>
          <w:p w14:paraId="07F3481B">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医生端</w:t>
            </w:r>
          </w:p>
        </w:tc>
      </w:tr>
      <w:tr w14:paraId="236E58B6">
        <w:tblPrEx>
          <w:tblCellMar>
            <w:top w:w="0" w:type="dxa"/>
            <w:left w:w="108" w:type="dxa"/>
            <w:bottom w:w="0" w:type="dxa"/>
            <w:right w:w="108" w:type="dxa"/>
          </w:tblCellMar>
        </w:tblPrEx>
        <w:trPr>
          <w:trHeight w:val="1200" w:hRule="atLeast"/>
        </w:trPr>
        <w:tc>
          <w:tcPr>
            <w:tcW w:w="1413" w:type="dxa"/>
            <w:vMerge w:val="restart"/>
            <w:tcBorders>
              <w:top w:val="nil"/>
              <w:left w:val="single" w:color="auto" w:sz="4" w:space="0"/>
              <w:bottom w:val="single" w:color="auto" w:sz="4" w:space="0"/>
              <w:right w:val="single" w:color="auto" w:sz="4" w:space="0"/>
            </w:tcBorders>
            <w:noWrap w:val="0"/>
            <w:vAlign w:val="center"/>
          </w:tcPr>
          <w:p w14:paraId="6FA71DDA">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互联网门诊</w:t>
            </w:r>
          </w:p>
        </w:tc>
        <w:tc>
          <w:tcPr>
            <w:tcW w:w="1417" w:type="dxa"/>
            <w:tcBorders>
              <w:top w:val="nil"/>
              <w:left w:val="nil"/>
              <w:bottom w:val="single" w:color="auto" w:sz="4" w:space="0"/>
              <w:right w:val="single" w:color="auto" w:sz="4" w:space="0"/>
            </w:tcBorders>
            <w:noWrap w:val="0"/>
            <w:vAlign w:val="center"/>
          </w:tcPr>
          <w:p w14:paraId="7B5F160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视频咨询</w:t>
            </w:r>
          </w:p>
        </w:tc>
        <w:tc>
          <w:tcPr>
            <w:tcW w:w="5529" w:type="dxa"/>
            <w:tcBorders>
              <w:top w:val="nil"/>
              <w:left w:val="nil"/>
              <w:bottom w:val="single" w:color="auto" w:sz="4" w:space="0"/>
              <w:right w:val="single" w:color="auto" w:sz="4" w:space="0"/>
            </w:tcBorders>
            <w:noWrap/>
            <w:vAlign w:val="center"/>
          </w:tcPr>
          <w:p w14:paraId="4646233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支持医生在线视频问诊，并以图文、视频、语音的内容形式和患者进行问诊咨询服务，实现查询咨询服务患者的历次在院就诊信息。</w:t>
            </w:r>
          </w:p>
        </w:tc>
      </w:tr>
      <w:tr w14:paraId="7105E244">
        <w:tblPrEx>
          <w:tblCellMar>
            <w:top w:w="0" w:type="dxa"/>
            <w:left w:w="108" w:type="dxa"/>
            <w:bottom w:w="0" w:type="dxa"/>
            <w:right w:w="108" w:type="dxa"/>
          </w:tblCellMar>
        </w:tblPrEx>
        <w:trPr>
          <w:trHeight w:val="12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34058BF7">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6C6EC75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电话咨询</w:t>
            </w:r>
          </w:p>
        </w:tc>
        <w:tc>
          <w:tcPr>
            <w:tcW w:w="5529" w:type="dxa"/>
            <w:tcBorders>
              <w:top w:val="nil"/>
              <w:left w:val="nil"/>
              <w:bottom w:val="single" w:color="auto" w:sz="4" w:space="0"/>
              <w:right w:val="single" w:color="auto" w:sz="4" w:space="0"/>
            </w:tcBorders>
            <w:noWrap/>
            <w:vAlign w:val="center"/>
          </w:tcPr>
          <w:p w14:paraId="5795C013">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支持系统按照患者预约时间自动回拨患者电话，进行电话问诊咨询服务。实现查询咨询服务患者的历次在院就诊信息。</w:t>
            </w:r>
          </w:p>
        </w:tc>
      </w:tr>
      <w:tr w14:paraId="3ED353F7">
        <w:tblPrEx>
          <w:tblCellMar>
            <w:top w:w="0" w:type="dxa"/>
            <w:left w:w="108" w:type="dxa"/>
            <w:bottom w:w="0" w:type="dxa"/>
            <w:right w:w="108" w:type="dxa"/>
          </w:tblCellMar>
        </w:tblPrEx>
        <w:trPr>
          <w:trHeight w:val="9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568C4BE9">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79C06ECE">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图文咨询</w:t>
            </w:r>
          </w:p>
        </w:tc>
        <w:tc>
          <w:tcPr>
            <w:tcW w:w="5529" w:type="dxa"/>
            <w:tcBorders>
              <w:top w:val="nil"/>
              <w:left w:val="nil"/>
              <w:bottom w:val="single" w:color="auto" w:sz="4" w:space="0"/>
              <w:right w:val="single" w:color="auto" w:sz="4" w:space="0"/>
            </w:tcBorders>
            <w:noWrap/>
            <w:vAlign w:val="center"/>
          </w:tcPr>
          <w:p w14:paraId="4EEEE8D3">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支持医生根据实际情况进行非即时性回复患者的咨询服务。实现查询咨询服务患者的历次在院就诊信息。</w:t>
            </w:r>
          </w:p>
        </w:tc>
      </w:tr>
      <w:tr w14:paraId="68FFC764">
        <w:tblPrEx>
          <w:tblCellMar>
            <w:top w:w="0" w:type="dxa"/>
            <w:left w:w="108" w:type="dxa"/>
            <w:bottom w:w="0" w:type="dxa"/>
            <w:right w:w="108" w:type="dxa"/>
          </w:tblCellMar>
        </w:tblPrEx>
        <w:trPr>
          <w:trHeight w:val="12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57184C57">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7C62CEE6">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在线问诊</w:t>
            </w:r>
          </w:p>
        </w:tc>
        <w:tc>
          <w:tcPr>
            <w:tcW w:w="5529" w:type="dxa"/>
            <w:tcBorders>
              <w:top w:val="nil"/>
              <w:left w:val="nil"/>
              <w:bottom w:val="single" w:color="auto" w:sz="4" w:space="0"/>
              <w:right w:val="single" w:color="auto" w:sz="4" w:space="0"/>
            </w:tcBorders>
            <w:noWrap/>
            <w:vAlign w:val="center"/>
          </w:tcPr>
          <w:p w14:paraId="7CBC102A">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支持医生在线通过视频、图文、语音的形式，与复诊患者进行沟通，可查询患者的就诊信息，根据实际情况，为患者开具药品、检验检查、治疗医嘱。</w:t>
            </w:r>
          </w:p>
        </w:tc>
      </w:tr>
      <w:tr w14:paraId="55391F96">
        <w:tblPrEx>
          <w:tblCellMar>
            <w:top w:w="0" w:type="dxa"/>
            <w:left w:w="108" w:type="dxa"/>
            <w:bottom w:w="0" w:type="dxa"/>
            <w:right w:w="108" w:type="dxa"/>
          </w:tblCellMar>
        </w:tblPrEx>
        <w:trPr>
          <w:trHeight w:val="15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19E8D5F8">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188FA62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医嘱管理</w:t>
            </w:r>
          </w:p>
        </w:tc>
        <w:tc>
          <w:tcPr>
            <w:tcW w:w="5529" w:type="dxa"/>
            <w:tcBorders>
              <w:top w:val="nil"/>
              <w:left w:val="nil"/>
              <w:bottom w:val="single" w:color="auto" w:sz="4" w:space="0"/>
              <w:right w:val="single" w:color="auto" w:sz="4" w:space="0"/>
            </w:tcBorders>
            <w:noWrap/>
            <w:vAlign w:val="center"/>
          </w:tcPr>
          <w:p w14:paraId="067B6BB1">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支持医生为常见病、多发病、复诊的患者，及时调阅健康档案记录和历史就诊记录，在线开具药品，检查、检验、治疗等处方。支持多种开单方式，支持线上处方权限控制，支持CA认证的接入。</w:t>
            </w:r>
          </w:p>
        </w:tc>
      </w:tr>
      <w:tr w14:paraId="60C68085">
        <w:tblPrEx>
          <w:tblCellMar>
            <w:top w:w="0" w:type="dxa"/>
            <w:left w:w="108" w:type="dxa"/>
            <w:bottom w:w="0" w:type="dxa"/>
            <w:right w:w="108" w:type="dxa"/>
          </w:tblCellMar>
        </w:tblPrEx>
        <w:trPr>
          <w:trHeight w:val="600" w:hRule="atLeast"/>
        </w:trPr>
        <w:tc>
          <w:tcPr>
            <w:tcW w:w="1413" w:type="dxa"/>
            <w:vMerge w:val="restart"/>
            <w:tcBorders>
              <w:top w:val="nil"/>
              <w:left w:val="single" w:color="auto" w:sz="4" w:space="0"/>
              <w:bottom w:val="single" w:color="auto" w:sz="4" w:space="0"/>
              <w:right w:val="single" w:color="auto" w:sz="4" w:space="0"/>
            </w:tcBorders>
            <w:noWrap w:val="0"/>
            <w:vAlign w:val="center"/>
          </w:tcPr>
          <w:p w14:paraId="64547D51">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综合服务</w:t>
            </w:r>
          </w:p>
        </w:tc>
        <w:tc>
          <w:tcPr>
            <w:tcW w:w="1417" w:type="dxa"/>
            <w:tcBorders>
              <w:top w:val="nil"/>
              <w:left w:val="nil"/>
              <w:bottom w:val="single" w:color="auto" w:sz="4" w:space="0"/>
              <w:right w:val="single" w:color="auto" w:sz="4" w:space="0"/>
            </w:tcBorders>
            <w:noWrap w:val="0"/>
            <w:vAlign w:val="center"/>
          </w:tcPr>
          <w:p w14:paraId="28F96F96">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电子处方</w:t>
            </w:r>
          </w:p>
        </w:tc>
        <w:tc>
          <w:tcPr>
            <w:tcW w:w="5529" w:type="dxa"/>
            <w:tcBorders>
              <w:top w:val="nil"/>
              <w:left w:val="nil"/>
              <w:bottom w:val="single" w:color="auto" w:sz="4" w:space="0"/>
              <w:right w:val="single" w:color="auto" w:sz="4" w:space="0"/>
            </w:tcBorders>
            <w:noWrap/>
            <w:vAlign w:val="center"/>
          </w:tcPr>
          <w:p w14:paraId="229B7E1E">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支持医生给予复诊患者开具线上电子处方，同时附上医师电子处方签章。</w:t>
            </w:r>
          </w:p>
        </w:tc>
      </w:tr>
      <w:tr w14:paraId="2BC97E7D">
        <w:tblPrEx>
          <w:tblCellMar>
            <w:top w:w="0" w:type="dxa"/>
            <w:left w:w="108" w:type="dxa"/>
            <w:bottom w:w="0" w:type="dxa"/>
            <w:right w:w="108" w:type="dxa"/>
          </w:tblCellMar>
        </w:tblPrEx>
        <w:trPr>
          <w:trHeight w:val="6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376FE6E5">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06444CB8">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问诊模板</w:t>
            </w:r>
          </w:p>
        </w:tc>
        <w:tc>
          <w:tcPr>
            <w:tcW w:w="5529" w:type="dxa"/>
            <w:tcBorders>
              <w:top w:val="nil"/>
              <w:left w:val="nil"/>
              <w:bottom w:val="single" w:color="auto" w:sz="4" w:space="0"/>
              <w:right w:val="single" w:color="auto" w:sz="4" w:space="0"/>
            </w:tcBorders>
            <w:noWrap/>
            <w:vAlign w:val="center"/>
          </w:tcPr>
          <w:p w14:paraId="7836173C">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支持问诊模板新增、分组管理、群发问诊表等操作。</w:t>
            </w:r>
          </w:p>
        </w:tc>
      </w:tr>
      <w:tr w14:paraId="3A1CD645">
        <w:tblPrEx>
          <w:tblCellMar>
            <w:top w:w="0" w:type="dxa"/>
            <w:left w:w="108" w:type="dxa"/>
            <w:bottom w:w="0" w:type="dxa"/>
            <w:right w:w="108" w:type="dxa"/>
          </w:tblCellMar>
        </w:tblPrEx>
        <w:trPr>
          <w:trHeight w:val="3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727675E1">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27932168">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问诊小助手</w:t>
            </w:r>
          </w:p>
        </w:tc>
        <w:tc>
          <w:tcPr>
            <w:tcW w:w="5529" w:type="dxa"/>
            <w:tcBorders>
              <w:top w:val="nil"/>
              <w:left w:val="nil"/>
              <w:bottom w:val="single" w:color="auto" w:sz="4" w:space="0"/>
              <w:right w:val="single" w:color="auto" w:sz="4" w:space="0"/>
            </w:tcBorders>
            <w:noWrap/>
            <w:vAlign w:val="center"/>
          </w:tcPr>
          <w:p w14:paraId="40B23F84">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支持设置患者首次咨询自动回复内容。</w:t>
            </w:r>
          </w:p>
        </w:tc>
      </w:tr>
      <w:tr w14:paraId="41ABF93B">
        <w:tblPrEx>
          <w:tblCellMar>
            <w:top w:w="0" w:type="dxa"/>
            <w:left w:w="108" w:type="dxa"/>
            <w:bottom w:w="0" w:type="dxa"/>
            <w:right w:w="108" w:type="dxa"/>
          </w:tblCellMar>
        </w:tblPrEx>
        <w:trPr>
          <w:trHeight w:val="9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475C8B27">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47C5E7DE">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平台客户</w:t>
            </w:r>
          </w:p>
        </w:tc>
        <w:tc>
          <w:tcPr>
            <w:tcW w:w="5529" w:type="dxa"/>
            <w:tcBorders>
              <w:top w:val="nil"/>
              <w:left w:val="nil"/>
              <w:bottom w:val="single" w:color="auto" w:sz="4" w:space="0"/>
              <w:right w:val="single" w:color="auto" w:sz="4" w:space="0"/>
            </w:tcBorders>
            <w:noWrap/>
            <w:vAlign w:val="center"/>
          </w:tcPr>
          <w:p w14:paraId="7151CB9E">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支持快捷查看与自己有产生订单关系的客户信息，并支持发起聊天；支持对客户进行设置标签，进行分标签管理。</w:t>
            </w:r>
          </w:p>
        </w:tc>
      </w:tr>
      <w:tr w14:paraId="17875E15">
        <w:tblPrEx>
          <w:tblCellMar>
            <w:top w:w="0" w:type="dxa"/>
            <w:left w:w="108" w:type="dxa"/>
            <w:bottom w:w="0" w:type="dxa"/>
            <w:right w:w="108" w:type="dxa"/>
          </w:tblCellMar>
        </w:tblPrEx>
        <w:trPr>
          <w:trHeight w:val="1302"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445E64BD">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00407804">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团队管理</w:t>
            </w:r>
          </w:p>
        </w:tc>
        <w:tc>
          <w:tcPr>
            <w:tcW w:w="5529" w:type="dxa"/>
            <w:tcBorders>
              <w:top w:val="nil"/>
              <w:left w:val="nil"/>
              <w:bottom w:val="single" w:color="auto" w:sz="4" w:space="0"/>
              <w:right w:val="single" w:color="auto" w:sz="4" w:space="0"/>
            </w:tcBorders>
            <w:noWrap/>
            <w:vAlign w:val="center"/>
          </w:tcPr>
          <w:p w14:paraId="175DB66E">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支持医生创建自己的团队，邀请其他医生加入。通讯录中好友可进行一对一IM聊天，也可支持好友群聊；聊天支持文本、语音等方式，并支持在聊天过程中分享病历给其他好友。</w:t>
            </w:r>
          </w:p>
        </w:tc>
      </w:tr>
      <w:tr w14:paraId="1ECA2FE4">
        <w:tblPrEx>
          <w:tblCellMar>
            <w:top w:w="0" w:type="dxa"/>
            <w:left w:w="108" w:type="dxa"/>
            <w:bottom w:w="0" w:type="dxa"/>
            <w:right w:w="108" w:type="dxa"/>
          </w:tblCellMar>
        </w:tblPrEx>
        <w:trPr>
          <w:trHeight w:val="3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037815DF">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3C9F3155">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业务数据统计</w:t>
            </w:r>
          </w:p>
        </w:tc>
        <w:tc>
          <w:tcPr>
            <w:tcW w:w="5529" w:type="dxa"/>
            <w:tcBorders>
              <w:top w:val="nil"/>
              <w:left w:val="nil"/>
              <w:bottom w:val="single" w:color="auto" w:sz="4" w:space="0"/>
              <w:right w:val="single" w:color="auto" w:sz="4" w:space="0"/>
            </w:tcBorders>
            <w:noWrap/>
            <w:vAlign w:val="center"/>
          </w:tcPr>
          <w:p w14:paraId="0007A8A5">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支持查看近7日主要业务数据总量。</w:t>
            </w:r>
          </w:p>
        </w:tc>
      </w:tr>
      <w:tr w14:paraId="55260FE4">
        <w:tblPrEx>
          <w:tblCellMar>
            <w:top w:w="0" w:type="dxa"/>
            <w:left w:w="108" w:type="dxa"/>
            <w:bottom w:w="0" w:type="dxa"/>
            <w:right w:w="108" w:type="dxa"/>
          </w:tblCellMar>
        </w:tblPrEx>
        <w:trPr>
          <w:trHeight w:val="2189"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61D45F21">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0A70F377">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待办事项</w:t>
            </w:r>
          </w:p>
        </w:tc>
        <w:tc>
          <w:tcPr>
            <w:tcW w:w="5529" w:type="dxa"/>
            <w:tcBorders>
              <w:top w:val="nil"/>
              <w:left w:val="nil"/>
              <w:bottom w:val="single" w:color="auto" w:sz="4" w:space="0"/>
              <w:right w:val="single" w:color="auto" w:sz="4" w:space="0"/>
            </w:tcBorders>
            <w:noWrap w:val="0"/>
            <w:vAlign w:val="top"/>
          </w:tcPr>
          <w:p w14:paraId="099607E2">
            <w:pPr>
              <w:numPr>
                <w:ilvl w:val="0"/>
                <w:numId w:val="2"/>
              </w:num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 xml:space="preserve">支持待办事项的添加，提醒设置；               </w:t>
            </w:r>
          </w:p>
          <w:p w14:paraId="0A51C064">
            <w:pPr>
              <w:numPr>
                <w:ilvl w:val="0"/>
                <w:numId w:val="2"/>
              </w:num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 xml:space="preserve">支持待办事项记录查看，包括自定的添加的事项和线上待处理、待完成业务事项，可进入具体详情页查看或跳转至对应业务页面处理；                       </w:t>
            </w:r>
          </w:p>
          <w:p w14:paraId="18C81759">
            <w:pPr>
              <w:numPr>
                <w:ilvl w:val="0"/>
                <w:numId w:val="2"/>
              </w:num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 xml:space="preserve">支持待办事项到达提醒时间时，以设定好的提醒方式提醒用户；                                     </w:t>
            </w:r>
          </w:p>
          <w:p w14:paraId="41F3E8E7">
            <w:pPr>
              <w:numPr>
                <w:ilvl w:val="0"/>
                <w:numId w:val="2"/>
              </w:num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 xml:space="preserve">支持查看全部待办事项记录；                   </w:t>
            </w:r>
          </w:p>
          <w:p w14:paraId="5D678972">
            <w:pPr>
              <w:numPr>
                <w:ilvl w:val="0"/>
                <w:numId w:val="2"/>
              </w:num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支持激活历史待办事项，重新设置提醒时间。</w:t>
            </w:r>
          </w:p>
        </w:tc>
      </w:tr>
      <w:tr w14:paraId="56A3BC76">
        <w:tblPrEx>
          <w:tblCellMar>
            <w:top w:w="0" w:type="dxa"/>
            <w:left w:w="108" w:type="dxa"/>
            <w:bottom w:w="0" w:type="dxa"/>
            <w:right w:w="108" w:type="dxa"/>
          </w:tblCellMar>
        </w:tblPrEx>
        <w:trPr>
          <w:trHeight w:val="300" w:hRule="atLeast"/>
        </w:trPr>
        <w:tc>
          <w:tcPr>
            <w:tcW w:w="1413" w:type="dxa"/>
            <w:vMerge w:val="restart"/>
            <w:tcBorders>
              <w:top w:val="nil"/>
              <w:left w:val="single" w:color="auto" w:sz="4" w:space="0"/>
              <w:bottom w:val="single" w:color="auto" w:sz="4" w:space="0"/>
              <w:right w:val="single" w:color="auto" w:sz="4" w:space="0"/>
            </w:tcBorders>
            <w:noWrap w:val="0"/>
            <w:vAlign w:val="center"/>
          </w:tcPr>
          <w:p w14:paraId="0BF8114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个人中心</w:t>
            </w:r>
          </w:p>
        </w:tc>
        <w:tc>
          <w:tcPr>
            <w:tcW w:w="1417" w:type="dxa"/>
            <w:tcBorders>
              <w:top w:val="nil"/>
              <w:left w:val="nil"/>
              <w:bottom w:val="single" w:color="auto" w:sz="4" w:space="0"/>
              <w:right w:val="single" w:color="auto" w:sz="4" w:space="0"/>
            </w:tcBorders>
            <w:noWrap w:val="0"/>
            <w:vAlign w:val="center"/>
          </w:tcPr>
          <w:p w14:paraId="1485559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消息中心</w:t>
            </w:r>
          </w:p>
        </w:tc>
        <w:tc>
          <w:tcPr>
            <w:tcW w:w="5529" w:type="dxa"/>
            <w:tcBorders>
              <w:top w:val="nil"/>
              <w:left w:val="nil"/>
              <w:bottom w:val="single" w:color="auto" w:sz="4" w:space="0"/>
              <w:right w:val="single" w:color="auto" w:sz="4" w:space="0"/>
            </w:tcBorders>
            <w:noWrap/>
            <w:vAlign w:val="center"/>
          </w:tcPr>
          <w:p w14:paraId="6AD884CB">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支持所有消息的统一提示窗口。</w:t>
            </w:r>
          </w:p>
        </w:tc>
      </w:tr>
      <w:tr w14:paraId="76FD8963">
        <w:tblPrEx>
          <w:tblCellMar>
            <w:top w:w="0" w:type="dxa"/>
            <w:left w:w="108" w:type="dxa"/>
            <w:bottom w:w="0" w:type="dxa"/>
            <w:right w:w="108" w:type="dxa"/>
          </w:tblCellMar>
        </w:tblPrEx>
        <w:trPr>
          <w:trHeight w:val="473"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49EA8E42">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5C17880A">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个人信息</w:t>
            </w:r>
          </w:p>
        </w:tc>
        <w:tc>
          <w:tcPr>
            <w:tcW w:w="5529" w:type="dxa"/>
            <w:tcBorders>
              <w:top w:val="nil"/>
              <w:left w:val="nil"/>
              <w:bottom w:val="single" w:color="auto" w:sz="4" w:space="0"/>
              <w:right w:val="single" w:color="auto" w:sz="4" w:space="0"/>
            </w:tcBorders>
            <w:noWrap/>
            <w:vAlign w:val="center"/>
          </w:tcPr>
          <w:p w14:paraId="715E055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支持个人基本信息、修改密码、切换业务科室等功能。</w:t>
            </w:r>
          </w:p>
        </w:tc>
      </w:tr>
      <w:tr w14:paraId="1D8DD108">
        <w:tblPrEx>
          <w:tblCellMar>
            <w:top w:w="0" w:type="dxa"/>
            <w:left w:w="108" w:type="dxa"/>
            <w:bottom w:w="0" w:type="dxa"/>
            <w:right w:w="108" w:type="dxa"/>
          </w:tblCellMar>
        </w:tblPrEx>
        <w:trPr>
          <w:trHeight w:val="6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11078DB5">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27E2A14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认证</w:t>
            </w:r>
          </w:p>
        </w:tc>
        <w:tc>
          <w:tcPr>
            <w:tcW w:w="5529" w:type="dxa"/>
            <w:tcBorders>
              <w:top w:val="nil"/>
              <w:left w:val="nil"/>
              <w:bottom w:val="single" w:color="auto" w:sz="4" w:space="0"/>
              <w:right w:val="single" w:color="auto" w:sz="4" w:space="0"/>
            </w:tcBorders>
            <w:noWrap/>
            <w:vAlign w:val="center"/>
          </w:tcPr>
          <w:p w14:paraId="3951362C">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支持用户通过第三方实人认证能力，在线完成实人认证；以及在线提交相关资质信息，完成资质认证；</w:t>
            </w:r>
          </w:p>
        </w:tc>
      </w:tr>
      <w:tr w14:paraId="00B2FE64">
        <w:tblPrEx>
          <w:tblCellMar>
            <w:top w:w="0" w:type="dxa"/>
            <w:left w:w="108" w:type="dxa"/>
            <w:bottom w:w="0" w:type="dxa"/>
            <w:right w:w="108" w:type="dxa"/>
          </w:tblCellMar>
        </w:tblPrEx>
        <w:trPr>
          <w:trHeight w:val="18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58BC5D58">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1E906DF1">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钱包</w:t>
            </w:r>
          </w:p>
        </w:tc>
        <w:tc>
          <w:tcPr>
            <w:tcW w:w="5529" w:type="dxa"/>
            <w:tcBorders>
              <w:top w:val="nil"/>
              <w:left w:val="nil"/>
              <w:bottom w:val="single" w:color="auto" w:sz="4" w:space="0"/>
              <w:right w:val="single" w:color="auto" w:sz="4" w:space="0"/>
            </w:tcBorders>
            <w:noWrap w:val="0"/>
            <w:vAlign w:val="center"/>
          </w:tcPr>
          <w:p w14:paraId="2553590F">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 xml:space="preserve">1.支持提供累计总收入、待结算、订单冻结数量、订单冻结金额、订单流失数量、订单流失金额等数据；                                       2.支持结算卡的添加与管理；                     </w:t>
            </w:r>
          </w:p>
          <w:p w14:paraId="7E8031AC">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3.支持查看账单可视化数据报表；</w:t>
            </w:r>
          </w:p>
          <w:p w14:paraId="29FCCA94">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 xml:space="preserve">4.支持收入明细、流失明细的查看；               </w:t>
            </w:r>
          </w:p>
          <w:p w14:paraId="51E55909">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5.支持自动提交待结算数据；</w:t>
            </w:r>
          </w:p>
        </w:tc>
      </w:tr>
      <w:tr w14:paraId="3F820EA6">
        <w:tblPrEx>
          <w:tblCellMar>
            <w:top w:w="0" w:type="dxa"/>
            <w:left w:w="108" w:type="dxa"/>
            <w:bottom w:w="0" w:type="dxa"/>
            <w:right w:w="108" w:type="dxa"/>
          </w:tblCellMar>
        </w:tblPrEx>
        <w:trPr>
          <w:trHeight w:val="6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7CFBA349">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785F052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我的CA证书</w:t>
            </w:r>
          </w:p>
        </w:tc>
        <w:tc>
          <w:tcPr>
            <w:tcW w:w="5529" w:type="dxa"/>
            <w:tcBorders>
              <w:top w:val="nil"/>
              <w:left w:val="nil"/>
              <w:bottom w:val="single" w:color="auto" w:sz="4" w:space="0"/>
              <w:right w:val="single" w:color="auto" w:sz="4" w:space="0"/>
            </w:tcBorders>
            <w:noWrap/>
            <w:vAlign w:val="center"/>
          </w:tcPr>
          <w:p w14:paraId="0AC0D7F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支持在线申请CA证书，查看证书状态，并配合WEB端进行扫码签名。</w:t>
            </w:r>
          </w:p>
        </w:tc>
      </w:tr>
      <w:tr w14:paraId="089527B0">
        <w:tblPrEx>
          <w:tblCellMar>
            <w:top w:w="0" w:type="dxa"/>
            <w:left w:w="108" w:type="dxa"/>
            <w:bottom w:w="0" w:type="dxa"/>
            <w:right w:w="108" w:type="dxa"/>
          </w:tblCellMar>
        </w:tblPrEx>
        <w:trPr>
          <w:trHeight w:val="929"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5AB011C2">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67C431CF">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服务管理</w:t>
            </w:r>
          </w:p>
        </w:tc>
        <w:tc>
          <w:tcPr>
            <w:tcW w:w="5529" w:type="dxa"/>
            <w:tcBorders>
              <w:top w:val="nil"/>
              <w:left w:val="nil"/>
              <w:bottom w:val="single" w:color="auto" w:sz="4" w:space="0"/>
              <w:right w:val="single" w:color="auto" w:sz="4" w:space="0"/>
            </w:tcBorders>
            <w:noWrap/>
            <w:vAlign w:val="center"/>
          </w:tcPr>
          <w:p w14:paraId="0A09FC06">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支持在线提交服务获权申请，并可对个人账号当前已获权的业务进行服务管理，包括开通服务、设置服务费用、设置服务号源等。</w:t>
            </w:r>
          </w:p>
        </w:tc>
      </w:tr>
      <w:tr w14:paraId="5EE71C40">
        <w:tblPrEx>
          <w:tblCellMar>
            <w:top w:w="0" w:type="dxa"/>
            <w:left w:w="108" w:type="dxa"/>
            <w:bottom w:w="0" w:type="dxa"/>
            <w:right w:w="108" w:type="dxa"/>
          </w:tblCellMar>
        </w:tblPrEx>
        <w:trPr>
          <w:trHeight w:val="3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5152EA03">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6A015E43">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用户评价</w:t>
            </w:r>
          </w:p>
        </w:tc>
        <w:tc>
          <w:tcPr>
            <w:tcW w:w="5529" w:type="dxa"/>
            <w:tcBorders>
              <w:top w:val="nil"/>
              <w:left w:val="nil"/>
              <w:bottom w:val="single" w:color="auto" w:sz="4" w:space="0"/>
              <w:right w:val="single" w:color="auto" w:sz="4" w:space="0"/>
            </w:tcBorders>
            <w:noWrap/>
            <w:vAlign w:val="center"/>
          </w:tcPr>
          <w:p w14:paraId="53B19337">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支持在线查看用户提交的业务评价信息。</w:t>
            </w:r>
          </w:p>
        </w:tc>
      </w:tr>
      <w:tr w14:paraId="257EB7D7">
        <w:tblPrEx>
          <w:tblCellMar>
            <w:top w:w="0" w:type="dxa"/>
            <w:left w:w="108" w:type="dxa"/>
            <w:bottom w:w="0" w:type="dxa"/>
            <w:right w:w="108" w:type="dxa"/>
          </w:tblCellMar>
        </w:tblPrEx>
        <w:trPr>
          <w:trHeight w:val="6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1C138612">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63A73DC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我的评论</w:t>
            </w:r>
          </w:p>
        </w:tc>
        <w:tc>
          <w:tcPr>
            <w:tcW w:w="5529" w:type="dxa"/>
            <w:tcBorders>
              <w:top w:val="nil"/>
              <w:left w:val="nil"/>
              <w:bottom w:val="single" w:color="auto" w:sz="4" w:space="0"/>
              <w:right w:val="single" w:color="auto" w:sz="4" w:space="0"/>
            </w:tcBorders>
            <w:noWrap/>
            <w:vAlign w:val="center"/>
          </w:tcPr>
          <w:p w14:paraId="2B51D786">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支持用户可管理账号发表或收到的历史评论，并对评论进行回复等操作。</w:t>
            </w:r>
          </w:p>
        </w:tc>
      </w:tr>
      <w:tr w14:paraId="5AFF68DC">
        <w:tblPrEx>
          <w:tblCellMar>
            <w:top w:w="0" w:type="dxa"/>
            <w:left w:w="108" w:type="dxa"/>
            <w:bottom w:w="0" w:type="dxa"/>
            <w:right w:w="108" w:type="dxa"/>
          </w:tblCellMar>
        </w:tblPrEx>
        <w:trPr>
          <w:trHeight w:val="9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1705584D">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7C180C30">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帮助与反馈</w:t>
            </w:r>
          </w:p>
        </w:tc>
        <w:tc>
          <w:tcPr>
            <w:tcW w:w="5529" w:type="dxa"/>
            <w:tcBorders>
              <w:top w:val="nil"/>
              <w:left w:val="nil"/>
              <w:bottom w:val="single" w:color="auto" w:sz="4" w:space="0"/>
              <w:right w:val="single" w:color="auto" w:sz="4" w:space="0"/>
            </w:tcBorders>
            <w:noWrap/>
            <w:vAlign w:val="center"/>
          </w:tcPr>
          <w:p w14:paraId="6CE84BB9">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支持用户可查阅产品使用常见问题，并可联系客服获得更多客服内容。也可在线提交反馈，待客服回复后可实时查看客服回复内容详情。</w:t>
            </w:r>
          </w:p>
        </w:tc>
      </w:tr>
      <w:tr w14:paraId="56DF9919">
        <w:tblPrEx>
          <w:tblCellMar>
            <w:top w:w="0" w:type="dxa"/>
            <w:left w:w="108" w:type="dxa"/>
            <w:bottom w:w="0" w:type="dxa"/>
            <w:right w:w="108" w:type="dxa"/>
          </w:tblCellMar>
        </w:tblPrEx>
        <w:trPr>
          <w:trHeight w:val="6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5BFB6ABB">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40D912E7">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消息管理</w:t>
            </w:r>
          </w:p>
        </w:tc>
        <w:tc>
          <w:tcPr>
            <w:tcW w:w="5529" w:type="dxa"/>
            <w:tcBorders>
              <w:top w:val="nil"/>
              <w:left w:val="nil"/>
              <w:bottom w:val="single" w:color="auto" w:sz="4" w:space="0"/>
              <w:right w:val="single" w:color="auto" w:sz="4" w:space="0"/>
            </w:tcBorders>
            <w:noWrap/>
            <w:vAlign w:val="center"/>
          </w:tcPr>
          <w:p w14:paraId="12E028A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支持用户可自定义管理新消息通知开关、聊天消息通知开关、免打扰模式设置等。</w:t>
            </w:r>
          </w:p>
        </w:tc>
      </w:tr>
      <w:tr w14:paraId="42DE00C3">
        <w:tblPrEx>
          <w:tblCellMar>
            <w:top w:w="0" w:type="dxa"/>
            <w:left w:w="108" w:type="dxa"/>
            <w:bottom w:w="0" w:type="dxa"/>
            <w:right w:w="108" w:type="dxa"/>
          </w:tblCellMar>
        </w:tblPrEx>
        <w:trPr>
          <w:trHeight w:val="3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479D18B7">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1EDB84BA">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个人二维码</w:t>
            </w:r>
          </w:p>
        </w:tc>
        <w:tc>
          <w:tcPr>
            <w:tcW w:w="5529" w:type="dxa"/>
            <w:tcBorders>
              <w:top w:val="nil"/>
              <w:left w:val="nil"/>
              <w:bottom w:val="single" w:color="auto" w:sz="4" w:space="0"/>
              <w:right w:val="single" w:color="auto" w:sz="4" w:space="0"/>
            </w:tcBorders>
            <w:noWrap/>
            <w:vAlign w:val="center"/>
          </w:tcPr>
          <w:p w14:paraId="2E51FDCE">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支持查看个人二维码。</w:t>
            </w:r>
          </w:p>
        </w:tc>
      </w:tr>
      <w:tr w14:paraId="5BBB500B">
        <w:tblPrEx>
          <w:tblCellMar>
            <w:top w:w="0" w:type="dxa"/>
            <w:left w:w="108" w:type="dxa"/>
            <w:bottom w:w="0" w:type="dxa"/>
            <w:right w:w="108" w:type="dxa"/>
          </w:tblCellMar>
        </w:tblPrEx>
        <w:trPr>
          <w:trHeight w:val="6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01FE45DC">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6B7790A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关于我们</w:t>
            </w:r>
          </w:p>
        </w:tc>
        <w:tc>
          <w:tcPr>
            <w:tcW w:w="5529" w:type="dxa"/>
            <w:tcBorders>
              <w:top w:val="nil"/>
              <w:left w:val="nil"/>
              <w:bottom w:val="single" w:color="auto" w:sz="4" w:space="0"/>
              <w:right w:val="single" w:color="auto" w:sz="4" w:space="0"/>
            </w:tcBorders>
            <w:noWrap/>
            <w:vAlign w:val="center"/>
          </w:tcPr>
          <w:p w14:paraId="60A915F0">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支持查看APP欢迎页、版本说明内容，也可快捷跳转到应用市场对APP进行评分。</w:t>
            </w:r>
          </w:p>
        </w:tc>
      </w:tr>
      <w:tr w14:paraId="66C26156">
        <w:tblPrEx>
          <w:tblCellMar>
            <w:top w:w="0" w:type="dxa"/>
            <w:left w:w="108" w:type="dxa"/>
            <w:bottom w:w="0" w:type="dxa"/>
            <w:right w:w="108" w:type="dxa"/>
          </w:tblCellMar>
        </w:tblPrEx>
        <w:trPr>
          <w:trHeight w:val="3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79A4645D">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25A082D3">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安全密码</w:t>
            </w:r>
          </w:p>
        </w:tc>
        <w:tc>
          <w:tcPr>
            <w:tcW w:w="5529" w:type="dxa"/>
            <w:tcBorders>
              <w:top w:val="nil"/>
              <w:left w:val="nil"/>
              <w:bottom w:val="single" w:color="auto" w:sz="4" w:space="0"/>
              <w:right w:val="single" w:color="auto" w:sz="4" w:space="0"/>
            </w:tcBorders>
            <w:noWrap/>
            <w:vAlign w:val="center"/>
          </w:tcPr>
          <w:p w14:paraId="7F3B2630">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支持密码重置操作。</w:t>
            </w:r>
          </w:p>
        </w:tc>
      </w:tr>
      <w:tr w14:paraId="57C58D82">
        <w:tblPrEx>
          <w:tblCellMar>
            <w:top w:w="0" w:type="dxa"/>
            <w:left w:w="108" w:type="dxa"/>
            <w:bottom w:w="0" w:type="dxa"/>
            <w:right w:w="108" w:type="dxa"/>
          </w:tblCellMar>
        </w:tblPrEx>
        <w:trPr>
          <w:trHeight w:val="300" w:hRule="atLeast"/>
        </w:trPr>
        <w:tc>
          <w:tcPr>
            <w:tcW w:w="1413" w:type="dxa"/>
            <w:vMerge w:val="restart"/>
            <w:tcBorders>
              <w:top w:val="nil"/>
              <w:left w:val="single" w:color="auto" w:sz="4" w:space="0"/>
              <w:bottom w:val="single" w:color="auto" w:sz="4" w:space="0"/>
              <w:right w:val="single" w:color="auto" w:sz="4" w:space="0"/>
            </w:tcBorders>
            <w:noWrap/>
            <w:vAlign w:val="center"/>
          </w:tcPr>
          <w:p w14:paraId="56FF4F74">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安全服务</w:t>
            </w:r>
          </w:p>
        </w:tc>
        <w:tc>
          <w:tcPr>
            <w:tcW w:w="1417" w:type="dxa"/>
            <w:tcBorders>
              <w:top w:val="nil"/>
              <w:left w:val="nil"/>
              <w:bottom w:val="single" w:color="auto" w:sz="4" w:space="0"/>
              <w:right w:val="single" w:color="auto" w:sz="4" w:space="0"/>
            </w:tcBorders>
            <w:noWrap w:val="0"/>
            <w:vAlign w:val="center"/>
          </w:tcPr>
          <w:p w14:paraId="1523BC6C">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定级备案</w:t>
            </w:r>
          </w:p>
        </w:tc>
        <w:tc>
          <w:tcPr>
            <w:tcW w:w="5529" w:type="dxa"/>
            <w:tcBorders>
              <w:top w:val="nil"/>
              <w:left w:val="nil"/>
              <w:bottom w:val="single" w:color="auto" w:sz="4" w:space="0"/>
              <w:right w:val="single" w:color="auto" w:sz="4" w:space="0"/>
            </w:tcBorders>
            <w:noWrap/>
            <w:vAlign w:val="center"/>
          </w:tcPr>
          <w:p w14:paraId="629EFAAD">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包含此次互联网医院的安全定级备案。</w:t>
            </w:r>
          </w:p>
        </w:tc>
      </w:tr>
      <w:tr w14:paraId="6363E983">
        <w:tblPrEx>
          <w:tblCellMar>
            <w:top w:w="0" w:type="dxa"/>
            <w:left w:w="108" w:type="dxa"/>
            <w:bottom w:w="0" w:type="dxa"/>
            <w:right w:w="108" w:type="dxa"/>
          </w:tblCellMar>
        </w:tblPrEx>
        <w:trPr>
          <w:trHeight w:val="3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0C9D9F2C">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5D7700F0">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等级保护测评</w:t>
            </w:r>
          </w:p>
        </w:tc>
        <w:tc>
          <w:tcPr>
            <w:tcW w:w="5529" w:type="dxa"/>
            <w:tcBorders>
              <w:top w:val="nil"/>
              <w:left w:val="nil"/>
              <w:bottom w:val="single" w:color="auto" w:sz="4" w:space="0"/>
              <w:right w:val="single" w:color="auto" w:sz="4" w:space="0"/>
            </w:tcBorders>
            <w:noWrap/>
            <w:vAlign w:val="center"/>
          </w:tcPr>
          <w:p w14:paraId="485A7939">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包含此次互联网医院的安全等级保护测评。</w:t>
            </w:r>
          </w:p>
        </w:tc>
      </w:tr>
      <w:tr w14:paraId="0FDF75E9">
        <w:tblPrEx>
          <w:tblCellMar>
            <w:top w:w="0" w:type="dxa"/>
            <w:left w:w="108" w:type="dxa"/>
            <w:bottom w:w="0" w:type="dxa"/>
            <w:right w:w="108" w:type="dxa"/>
          </w:tblCellMar>
        </w:tblPrEx>
        <w:trPr>
          <w:trHeight w:val="3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3BC04284">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2AECC682">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渗透测试</w:t>
            </w:r>
          </w:p>
        </w:tc>
        <w:tc>
          <w:tcPr>
            <w:tcW w:w="5529" w:type="dxa"/>
            <w:tcBorders>
              <w:top w:val="nil"/>
              <w:left w:val="nil"/>
              <w:bottom w:val="single" w:color="auto" w:sz="4" w:space="0"/>
              <w:right w:val="single" w:color="auto" w:sz="4" w:space="0"/>
            </w:tcBorders>
            <w:noWrap/>
            <w:vAlign w:val="center"/>
          </w:tcPr>
          <w:p w14:paraId="2A2F2091">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包含此次互联网医院的安全渗透测试服务。</w:t>
            </w:r>
          </w:p>
        </w:tc>
      </w:tr>
      <w:tr w14:paraId="7B5F999F">
        <w:tblPrEx>
          <w:tblCellMar>
            <w:top w:w="0" w:type="dxa"/>
            <w:left w:w="108" w:type="dxa"/>
            <w:bottom w:w="0" w:type="dxa"/>
            <w:right w:w="108" w:type="dxa"/>
          </w:tblCellMar>
        </w:tblPrEx>
        <w:trPr>
          <w:trHeight w:val="300" w:hRule="atLeast"/>
        </w:trPr>
        <w:tc>
          <w:tcPr>
            <w:tcW w:w="1413" w:type="dxa"/>
            <w:vMerge w:val="continue"/>
            <w:tcBorders>
              <w:top w:val="nil"/>
              <w:left w:val="single" w:color="auto" w:sz="4" w:space="0"/>
              <w:bottom w:val="single" w:color="auto" w:sz="4" w:space="0"/>
              <w:right w:val="single" w:color="auto" w:sz="4" w:space="0"/>
            </w:tcBorders>
            <w:noWrap w:val="0"/>
            <w:vAlign w:val="center"/>
          </w:tcPr>
          <w:p w14:paraId="0BE4B89A">
            <w:pPr>
              <w:adjustRightInd w:val="0"/>
              <w:snapToGrid w:val="0"/>
              <w:rPr>
                <w:rFonts w:hint="eastAsia" w:ascii="仿宋_GB2312" w:hAnsi="Calibri" w:eastAsia="仿宋_GB2312" w:cs="宋体"/>
                <w:color w:val="000000"/>
                <w:szCs w:val="21"/>
              </w:rPr>
            </w:pPr>
          </w:p>
        </w:tc>
        <w:tc>
          <w:tcPr>
            <w:tcW w:w="1417" w:type="dxa"/>
            <w:tcBorders>
              <w:top w:val="nil"/>
              <w:left w:val="nil"/>
              <w:bottom w:val="single" w:color="auto" w:sz="4" w:space="0"/>
              <w:right w:val="single" w:color="auto" w:sz="4" w:space="0"/>
            </w:tcBorders>
            <w:noWrap w:val="0"/>
            <w:vAlign w:val="center"/>
          </w:tcPr>
          <w:p w14:paraId="7468E47B">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漏洞整改咨询服务</w:t>
            </w:r>
          </w:p>
        </w:tc>
        <w:tc>
          <w:tcPr>
            <w:tcW w:w="5529" w:type="dxa"/>
            <w:tcBorders>
              <w:top w:val="nil"/>
              <w:left w:val="nil"/>
              <w:bottom w:val="single" w:color="auto" w:sz="4" w:space="0"/>
              <w:right w:val="single" w:color="auto" w:sz="4" w:space="0"/>
            </w:tcBorders>
            <w:noWrap/>
            <w:vAlign w:val="center"/>
          </w:tcPr>
          <w:p w14:paraId="1B44E771">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包含此次互联网医院的漏洞整改咨询服务</w:t>
            </w:r>
          </w:p>
        </w:tc>
      </w:tr>
      <w:tr w14:paraId="43C56239">
        <w:tblPrEx>
          <w:tblCellMar>
            <w:top w:w="0" w:type="dxa"/>
            <w:left w:w="108" w:type="dxa"/>
            <w:bottom w:w="0" w:type="dxa"/>
            <w:right w:w="108" w:type="dxa"/>
          </w:tblCellMar>
        </w:tblPrEx>
        <w:trPr>
          <w:trHeight w:val="300" w:hRule="atLeast"/>
        </w:trPr>
        <w:tc>
          <w:tcPr>
            <w:tcW w:w="1413" w:type="dxa"/>
            <w:tcBorders>
              <w:top w:val="nil"/>
              <w:left w:val="single" w:color="auto" w:sz="4" w:space="0"/>
              <w:bottom w:val="single" w:color="auto" w:sz="4" w:space="0"/>
              <w:right w:val="single" w:color="auto" w:sz="4" w:space="0"/>
            </w:tcBorders>
            <w:noWrap/>
            <w:vAlign w:val="center"/>
          </w:tcPr>
          <w:p w14:paraId="67C68E84">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其他</w:t>
            </w:r>
          </w:p>
        </w:tc>
        <w:tc>
          <w:tcPr>
            <w:tcW w:w="1417" w:type="dxa"/>
            <w:tcBorders>
              <w:top w:val="nil"/>
              <w:left w:val="nil"/>
              <w:bottom w:val="single" w:color="auto" w:sz="4" w:space="0"/>
              <w:right w:val="single" w:color="auto" w:sz="4" w:space="0"/>
            </w:tcBorders>
            <w:noWrap w:val="0"/>
            <w:vAlign w:val="center"/>
          </w:tcPr>
          <w:p w14:paraId="08E1EADA">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其他相关系统接口改造</w:t>
            </w:r>
          </w:p>
        </w:tc>
        <w:tc>
          <w:tcPr>
            <w:tcW w:w="5529" w:type="dxa"/>
            <w:tcBorders>
              <w:top w:val="nil"/>
              <w:left w:val="nil"/>
              <w:bottom w:val="single" w:color="auto" w:sz="4" w:space="0"/>
              <w:right w:val="single" w:color="auto" w:sz="4" w:space="0"/>
            </w:tcBorders>
            <w:noWrap/>
            <w:vAlign w:val="center"/>
          </w:tcPr>
          <w:p w14:paraId="3B3B9A4E">
            <w:pPr>
              <w:adjustRightInd w:val="0"/>
              <w:snapToGrid w:val="0"/>
              <w:rPr>
                <w:rFonts w:hint="eastAsia" w:ascii="仿宋_GB2312" w:hAnsi="Calibri" w:eastAsia="仿宋_GB2312" w:cs="宋体"/>
                <w:color w:val="000000"/>
                <w:szCs w:val="21"/>
              </w:rPr>
            </w:pPr>
            <w:r>
              <w:rPr>
                <w:rFonts w:hint="eastAsia" w:ascii="仿宋_GB2312" w:hAnsi="Calibri" w:eastAsia="仿宋_GB2312" w:cs="宋体"/>
                <w:color w:val="000000"/>
                <w:szCs w:val="21"/>
              </w:rPr>
              <w:t>包含此次互联网医院的相关系统（核酸检验系统上报和PACS系统）接口改造</w:t>
            </w:r>
          </w:p>
        </w:tc>
      </w:tr>
    </w:tbl>
    <w:p w14:paraId="55ADDB53">
      <w:pPr>
        <w:adjustRightInd w:val="0"/>
        <w:snapToGrid w:val="0"/>
        <w:spacing w:line="500" w:lineRule="exact"/>
        <w:jc w:val="left"/>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2、服务内容要求</w:t>
      </w:r>
    </w:p>
    <w:p w14:paraId="09C3E0DD">
      <w:pPr>
        <w:pStyle w:val="11"/>
        <w:spacing w:line="50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服务范围包括已签合同范围内各项系统现有功能的维护，保证数据的正确性和可靠性；对各项新投稿现有功能出现的故障进行诊断、检测、分析和处理；当出现数据错误或不能工作时，负责检测和分析，并尽快排除故障；在出现系统整体速度减慢影响业务之前，负责检测和分析，并尽快做出预防性处理，保证系统的正常运行；各项系统小版本的升级及支持；提供远程服务、对运行参数进行优化、灾难事件现场处理。</w:t>
      </w:r>
    </w:p>
    <w:p w14:paraId="3A9637D5">
      <w:pPr>
        <w:pStyle w:val="11"/>
        <w:spacing w:line="50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服务商需提供以下售后服务内容：</w:t>
      </w:r>
    </w:p>
    <w:p w14:paraId="2FE8AD0A">
      <w:pPr>
        <w:adjustRightInd w:val="0"/>
        <w:snapToGrid w:val="0"/>
        <w:spacing w:line="500" w:lineRule="exact"/>
        <w:ind w:firstLine="482" w:firstLineChars="200"/>
        <w:jc w:val="left"/>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2.1完整性维护</w:t>
      </w:r>
    </w:p>
    <w:p w14:paraId="0C431720">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asciiTheme="minorEastAsia" w:hAnsiTheme="minorEastAsia" w:eastAsiaTheme="minorEastAsia"/>
          <w:sz w:val="24"/>
          <w:szCs w:val="24"/>
        </w:rPr>
        <w:t>2.1.</w:t>
      </w:r>
      <w:r>
        <w:rPr>
          <w:rFonts w:hint="eastAsia" w:asciiTheme="minorEastAsia" w:hAnsiTheme="minorEastAsia" w:eastAsiaTheme="minorEastAsia"/>
          <w:sz w:val="24"/>
          <w:szCs w:val="24"/>
        </w:rPr>
        <w:t>1、现有功能或数据流转的调整，如</w:t>
      </w:r>
      <w:r>
        <w:rPr>
          <w:rFonts w:hint="eastAsia" w:cs="宋体" w:asciiTheme="minorEastAsia" w:hAnsiTheme="minorEastAsia" w:eastAsiaTheme="minorEastAsia"/>
          <w:sz w:val="24"/>
          <w:szCs w:val="24"/>
        </w:rPr>
        <w:t>物联网中间件服务原有分项式流程改为物联网中间件服务一体式流程</w:t>
      </w:r>
      <w:r>
        <w:rPr>
          <w:rFonts w:hint="eastAsia" w:asciiTheme="minorEastAsia" w:hAnsiTheme="minorEastAsia" w:eastAsiaTheme="minorEastAsia"/>
          <w:sz w:val="24"/>
          <w:szCs w:val="24"/>
        </w:rPr>
        <w:t>；</w:t>
      </w:r>
    </w:p>
    <w:p w14:paraId="04DAECD6">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.1.2</w:t>
      </w:r>
      <w:r>
        <w:rPr>
          <w:rFonts w:hint="eastAsia" w:asciiTheme="minorEastAsia" w:hAnsiTheme="minorEastAsia" w:eastAsiaTheme="minorEastAsia"/>
          <w:sz w:val="24"/>
          <w:szCs w:val="24"/>
        </w:rPr>
        <w:t>、业务流程的调整：原有业务流程仅由改变参数而完成不了的调整，但该调整不会引起系统功能结构及数据结构的较大的变化，如</w:t>
      </w:r>
      <w:r>
        <w:rPr>
          <w:rFonts w:hint="eastAsia" w:cs="宋体" w:asciiTheme="minorEastAsia" w:hAnsiTheme="minorEastAsia" w:eastAsiaTheme="minorEastAsia"/>
          <w:sz w:val="24"/>
          <w:szCs w:val="24"/>
        </w:rPr>
        <w:t>物联网中间件服务中原有就诊人员报到业务改为不再提供报到业务；</w:t>
      </w:r>
    </w:p>
    <w:p w14:paraId="5DBC88C9">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asciiTheme="minorEastAsia" w:hAnsiTheme="minorEastAsia" w:eastAsiaTheme="minorEastAsia"/>
          <w:sz w:val="24"/>
          <w:szCs w:val="24"/>
        </w:rPr>
        <w:t>2.1.</w:t>
      </w:r>
      <w:r>
        <w:rPr>
          <w:rFonts w:hint="eastAsia" w:asciiTheme="minorEastAsia" w:hAnsiTheme="minorEastAsia" w:eastAsiaTheme="minorEastAsia"/>
          <w:sz w:val="24"/>
          <w:szCs w:val="24"/>
        </w:rPr>
        <w:t xml:space="preserve">3、原有功能的完善：包括操作界面方便、快捷、实用等的调整； </w:t>
      </w:r>
    </w:p>
    <w:p w14:paraId="24D865F5">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asciiTheme="minorEastAsia" w:hAnsiTheme="minorEastAsia" w:eastAsiaTheme="minorEastAsia"/>
          <w:sz w:val="24"/>
          <w:szCs w:val="24"/>
        </w:rPr>
        <w:t>2.1.</w:t>
      </w:r>
      <w:r>
        <w:rPr>
          <w:rFonts w:hint="eastAsia" w:asciiTheme="minorEastAsia" w:hAnsiTheme="minorEastAsia" w:eastAsiaTheme="minorEastAsia"/>
          <w:sz w:val="24"/>
          <w:szCs w:val="24"/>
        </w:rPr>
        <w:t>4、原有报表格式、统计条件、统计口径、数据来源的调整；</w:t>
      </w:r>
    </w:p>
    <w:p w14:paraId="1CCC20CD">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asciiTheme="minorEastAsia" w:hAnsiTheme="minorEastAsia" w:eastAsiaTheme="minorEastAsia"/>
          <w:sz w:val="24"/>
          <w:szCs w:val="24"/>
        </w:rPr>
        <w:t>2.1.</w:t>
      </w:r>
      <w:r>
        <w:rPr>
          <w:rFonts w:hint="eastAsia" w:asciiTheme="minorEastAsia" w:hAnsiTheme="minorEastAsia" w:eastAsiaTheme="minorEastAsia"/>
          <w:sz w:val="24"/>
          <w:szCs w:val="24"/>
        </w:rPr>
        <w:t>5、已有的报表功能的增强；</w:t>
      </w:r>
    </w:p>
    <w:p w14:paraId="5E13262C">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asciiTheme="minorEastAsia" w:hAnsiTheme="minorEastAsia" w:eastAsiaTheme="minorEastAsia"/>
          <w:sz w:val="24"/>
          <w:szCs w:val="24"/>
        </w:rPr>
        <w:t>2.1.</w:t>
      </w:r>
      <w:r>
        <w:rPr>
          <w:rFonts w:hint="eastAsia" w:asciiTheme="minorEastAsia" w:hAnsiTheme="minorEastAsia" w:eastAsiaTheme="minorEastAsia"/>
          <w:sz w:val="24"/>
          <w:szCs w:val="24"/>
        </w:rPr>
        <w:t>6、原有系统功能基础上小功能的增加、该功能的增加不会引起系统功能结构及数据结构的变化。</w:t>
      </w:r>
    </w:p>
    <w:p w14:paraId="1FAC4DB0">
      <w:pPr>
        <w:adjustRightInd w:val="0"/>
        <w:snapToGrid w:val="0"/>
        <w:spacing w:line="500" w:lineRule="exact"/>
        <w:ind w:firstLine="241" w:firstLineChars="100"/>
        <w:jc w:val="left"/>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2.2适应性维护</w:t>
      </w:r>
    </w:p>
    <w:p w14:paraId="302D1B66">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asciiTheme="minorEastAsia" w:hAnsiTheme="minorEastAsia" w:eastAsiaTheme="minorEastAsia"/>
          <w:sz w:val="24"/>
          <w:szCs w:val="24"/>
        </w:rPr>
        <w:t>2.2.1</w:t>
      </w:r>
      <w:r>
        <w:rPr>
          <w:rFonts w:hint="eastAsia" w:asciiTheme="minorEastAsia" w:hAnsiTheme="minorEastAsia" w:eastAsiaTheme="minorEastAsia"/>
          <w:sz w:val="24"/>
          <w:szCs w:val="24"/>
        </w:rPr>
        <w:t>、数据字典维护：如性别、民族、国籍等需要通过维护数据库才可实现的字典；</w:t>
      </w:r>
    </w:p>
    <w:p w14:paraId="4D80F650">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.2.2</w:t>
      </w:r>
      <w:r>
        <w:rPr>
          <w:rFonts w:hint="eastAsia" w:asciiTheme="minorEastAsia" w:hAnsiTheme="minorEastAsia" w:eastAsiaTheme="minorEastAsia"/>
          <w:sz w:val="24"/>
          <w:szCs w:val="24"/>
        </w:rPr>
        <w:t>、系统定义的参数调整：包括各子系统的运行参数、业务流程参数、运行模式参数等的调整；</w:t>
      </w:r>
    </w:p>
    <w:p w14:paraId="6776483B">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asciiTheme="minorEastAsia" w:hAnsiTheme="minorEastAsia" w:eastAsiaTheme="minorEastAsia"/>
          <w:sz w:val="24"/>
          <w:szCs w:val="24"/>
        </w:rPr>
        <w:t>2.2.</w:t>
      </w:r>
      <w:r>
        <w:rPr>
          <w:rFonts w:hint="eastAsia" w:asciiTheme="minorEastAsia" w:hAnsiTheme="minorEastAsia" w:eastAsiaTheme="minorEastAsia"/>
          <w:sz w:val="24"/>
          <w:szCs w:val="24"/>
        </w:rPr>
        <w:t>3、由于系统所运行的环境变化，从而软件系统也需变化的调整；</w:t>
      </w:r>
    </w:p>
    <w:p w14:paraId="3FBDF239">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asciiTheme="minorEastAsia" w:hAnsiTheme="minorEastAsia" w:eastAsiaTheme="minorEastAsia"/>
          <w:sz w:val="24"/>
          <w:szCs w:val="24"/>
        </w:rPr>
        <w:t>2.2.</w:t>
      </w:r>
      <w:r>
        <w:rPr>
          <w:rFonts w:hint="eastAsia" w:asciiTheme="minorEastAsia" w:hAnsiTheme="minorEastAsia" w:eastAsiaTheme="minorEastAsia"/>
          <w:sz w:val="24"/>
          <w:szCs w:val="24"/>
        </w:rPr>
        <w:t>4、由于采购方实际情况的变化，而需要软件做的修改。</w:t>
      </w:r>
    </w:p>
    <w:p w14:paraId="75025908">
      <w:pPr>
        <w:adjustRightInd w:val="0"/>
        <w:snapToGrid w:val="0"/>
        <w:spacing w:line="500" w:lineRule="exact"/>
        <w:ind w:firstLine="241" w:firstLineChars="100"/>
        <w:jc w:val="left"/>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2.3纠错性维护</w:t>
      </w:r>
    </w:p>
    <w:p w14:paraId="761E906C">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asciiTheme="minorEastAsia" w:hAnsiTheme="minorEastAsia" w:eastAsiaTheme="minorEastAsia"/>
          <w:sz w:val="24"/>
          <w:szCs w:val="24"/>
        </w:rPr>
        <w:t>2.3.</w:t>
      </w:r>
      <w:r>
        <w:rPr>
          <w:rFonts w:hint="eastAsia" w:asciiTheme="minorEastAsia" w:hAnsiTheme="minorEastAsia" w:eastAsiaTheme="minorEastAsia"/>
          <w:sz w:val="24"/>
          <w:szCs w:val="24"/>
        </w:rPr>
        <w:t>1、程序潜在错误的改正；</w:t>
      </w:r>
    </w:p>
    <w:p w14:paraId="0D977DA4">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.3.2</w:t>
      </w:r>
      <w:r>
        <w:rPr>
          <w:rFonts w:hint="eastAsia" w:asciiTheme="minorEastAsia" w:hAnsiTheme="minorEastAsia" w:eastAsiaTheme="minorEastAsia"/>
          <w:sz w:val="24"/>
          <w:szCs w:val="24"/>
        </w:rPr>
        <w:t>、由于程序修改或增加功能所引起错误的改正；</w:t>
      </w:r>
    </w:p>
    <w:p w14:paraId="07BBC08B">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3</w:t>
      </w:r>
      <w:r>
        <w:rPr>
          <w:rFonts w:asciiTheme="minorEastAsia" w:hAnsiTheme="minorEastAsia" w:eastAsiaTheme="minorEastAsia"/>
          <w:sz w:val="24"/>
          <w:szCs w:val="24"/>
        </w:rPr>
        <w:t>.3</w:t>
      </w:r>
      <w:r>
        <w:rPr>
          <w:rFonts w:hint="eastAsia" w:asciiTheme="minorEastAsia" w:hAnsiTheme="minorEastAsia" w:eastAsiaTheme="minorEastAsia"/>
          <w:sz w:val="24"/>
          <w:szCs w:val="24"/>
        </w:rPr>
        <w:t>、数据错误：用户使用系统过程中，由于错误操作而引起的、但通过系统无法挽回的，并且又必须的数据，由当事人提出申请，并经过相关人员批准后，将错误数据纠正；</w:t>
      </w:r>
    </w:p>
    <w:p w14:paraId="48D63E4E">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asciiTheme="minorEastAsia" w:hAnsiTheme="minorEastAsia" w:eastAsiaTheme="minorEastAsia"/>
          <w:sz w:val="24"/>
          <w:szCs w:val="24"/>
        </w:rPr>
        <w:t>2.3.</w:t>
      </w:r>
      <w:r>
        <w:rPr>
          <w:rFonts w:hint="eastAsia" w:asciiTheme="minorEastAsia" w:hAnsiTheme="minorEastAsia" w:eastAsiaTheme="minorEastAsia"/>
          <w:sz w:val="24"/>
          <w:szCs w:val="24"/>
        </w:rPr>
        <w:t>4、运行环境变化而引起系统的错误的修改。</w:t>
      </w:r>
    </w:p>
    <w:p w14:paraId="5E211DCF">
      <w:pPr>
        <w:adjustRightInd w:val="0"/>
        <w:snapToGrid w:val="0"/>
        <w:spacing w:line="500" w:lineRule="exact"/>
        <w:ind w:firstLine="241" w:firstLineChars="100"/>
        <w:jc w:val="left"/>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（4）其他服务</w:t>
      </w:r>
    </w:p>
    <w:p w14:paraId="3781887C">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1、在特殊情况下，需要提取某些特殊数据的服务；</w:t>
      </w:r>
    </w:p>
    <w:p w14:paraId="7F5DC14E">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2、24小时电话技术支持服务。</w:t>
      </w:r>
    </w:p>
    <w:p w14:paraId="4ACDB962">
      <w:pPr>
        <w:adjustRightInd w:val="0"/>
        <w:snapToGrid w:val="0"/>
        <w:spacing w:line="500" w:lineRule="exact"/>
        <w:jc w:val="left"/>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3、服务方式要求</w:t>
      </w:r>
    </w:p>
    <w:p w14:paraId="514DBBBE">
      <w:pPr>
        <w:adjustRightInd w:val="0"/>
        <w:snapToGrid w:val="0"/>
        <w:spacing w:line="500" w:lineRule="exact"/>
        <w:ind w:firstLine="480" w:firstLineChars="200"/>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服务商需提供以下服务方式：</w:t>
      </w:r>
    </w:p>
    <w:p w14:paraId="2E284B61">
      <w:pPr>
        <w:pStyle w:val="11"/>
        <w:spacing w:line="500" w:lineRule="exact"/>
        <w:ind w:firstLine="241" w:firstLineChars="10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（1）定期巡检与收集：</w:t>
      </w:r>
      <w:r>
        <w:rPr>
          <w:rFonts w:hint="eastAsia" w:asciiTheme="minorEastAsia" w:hAnsiTheme="minorEastAsia" w:eastAsiaTheme="minorEastAsia"/>
          <w:sz w:val="24"/>
          <w:szCs w:val="24"/>
        </w:rPr>
        <w:t>每季</w:t>
      </w:r>
      <w:r>
        <w:rPr>
          <w:rFonts w:asciiTheme="minorEastAsia" w:hAnsiTheme="minorEastAsia" w:eastAsiaTheme="minorEastAsia"/>
          <w:sz w:val="24"/>
          <w:szCs w:val="24"/>
        </w:rPr>
        <w:t>度</w:t>
      </w:r>
      <w:r>
        <w:rPr>
          <w:rFonts w:hint="eastAsia" w:asciiTheme="minorEastAsia" w:hAnsiTheme="minorEastAsia" w:eastAsiaTheme="minorEastAsia"/>
          <w:sz w:val="24"/>
          <w:szCs w:val="24"/>
        </w:rPr>
        <w:t>一次现场巡检了</w:t>
      </w:r>
      <w:r>
        <w:rPr>
          <w:rFonts w:asciiTheme="minorEastAsia" w:hAnsiTheme="minorEastAsia" w:eastAsiaTheme="minorEastAsia"/>
          <w:sz w:val="24"/>
          <w:szCs w:val="24"/>
        </w:rPr>
        <w:t>解</w:t>
      </w:r>
      <w:r>
        <w:rPr>
          <w:rFonts w:hint="eastAsia" w:asciiTheme="minorEastAsia" w:hAnsiTheme="minorEastAsia" w:eastAsiaTheme="minorEastAsia"/>
          <w:sz w:val="24"/>
          <w:szCs w:val="24"/>
        </w:rPr>
        <w:t>已签合同的</w:t>
      </w:r>
      <w:r>
        <w:rPr>
          <w:rFonts w:asciiTheme="minorEastAsia" w:hAnsiTheme="minorEastAsia" w:eastAsiaTheme="minorEastAsia"/>
          <w:sz w:val="24"/>
          <w:szCs w:val="24"/>
        </w:rPr>
        <w:t>系统</w:t>
      </w:r>
      <w:r>
        <w:rPr>
          <w:rFonts w:hint="eastAsia" w:asciiTheme="minorEastAsia" w:hAnsiTheme="minorEastAsia" w:eastAsiaTheme="minorEastAsia"/>
          <w:sz w:val="24"/>
          <w:szCs w:val="24"/>
        </w:rPr>
        <w:t>的</w:t>
      </w:r>
      <w:r>
        <w:rPr>
          <w:rFonts w:asciiTheme="minorEastAsia" w:hAnsiTheme="minorEastAsia" w:eastAsiaTheme="minorEastAsia"/>
          <w:sz w:val="24"/>
          <w:szCs w:val="24"/>
        </w:rPr>
        <w:t>应用状况</w:t>
      </w:r>
      <w:r>
        <w:rPr>
          <w:rFonts w:hint="eastAsia" w:asciiTheme="minorEastAsia" w:hAnsiTheme="minorEastAsia" w:eastAsiaTheme="minorEastAsia"/>
          <w:sz w:val="24"/>
          <w:szCs w:val="24"/>
        </w:rPr>
        <w:t>，收集院</w:t>
      </w:r>
      <w:r>
        <w:rPr>
          <w:rFonts w:asciiTheme="minorEastAsia" w:hAnsiTheme="minorEastAsia" w:eastAsiaTheme="minorEastAsia"/>
          <w:sz w:val="24"/>
          <w:szCs w:val="24"/>
        </w:rPr>
        <w:t>方</w:t>
      </w:r>
      <w:r>
        <w:rPr>
          <w:rFonts w:hint="eastAsia" w:asciiTheme="minorEastAsia" w:hAnsiTheme="minorEastAsia" w:eastAsiaTheme="minorEastAsia"/>
          <w:sz w:val="24"/>
          <w:szCs w:val="24"/>
        </w:rPr>
        <w:t>相关使用人员反映的系统需求。</w:t>
      </w:r>
      <w:r>
        <w:rPr>
          <w:rFonts w:asciiTheme="minorEastAsia" w:hAnsiTheme="minorEastAsia" w:eastAsiaTheme="minorEastAsia"/>
          <w:sz w:val="24"/>
          <w:szCs w:val="24"/>
        </w:rPr>
        <w:t>并提交相关巡检</w:t>
      </w:r>
      <w:r>
        <w:rPr>
          <w:rFonts w:hint="eastAsia" w:asciiTheme="minorEastAsia" w:hAnsiTheme="minorEastAsia" w:eastAsiaTheme="minorEastAsia"/>
          <w:sz w:val="24"/>
          <w:szCs w:val="24"/>
        </w:rPr>
        <w:t>报告。</w:t>
      </w:r>
    </w:p>
    <w:p w14:paraId="5AE09C88">
      <w:pPr>
        <w:pStyle w:val="11"/>
        <w:spacing w:line="500" w:lineRule="exact"/>
        <w:ind w:firstLine="361" w:firstLineChars="15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（2）电话维护：</w:t>
      </w:r>
      <w:r>
        <w:rPr>
          <w:rFonts w:hint="eastAsia" w:asciiTheme="minorEastAsia" w:hAnsiTheme="minorEastAsia" w:eastAsiaTheme="minorEastAsia"/>
          <w:sz w:val="24"/>
          <w:szCs w:val="24"/>
        </w:rPr>
        <w:t>采购方可通过服务方提供的热线电话，直接向服务方技术支持人员咨询。</w:t>
      </w:r>
    </w:p>
    <w:p w14:paraId="75E1F481">
      <w:pPr>
        <w:pStyle w:val="11"/>
        <w:keepNext w:val="0"/>
        <w:keepLines w:val="0"/>
        <w:pageBreakBefore w:val="0"/>
        <w:widowControl w:val="0"/>
        <w:kinsoku/>
        <w:wordWrap/>
        <w:overflowPunct/>
        <w:topLinePunct w:val="0"/>
        <w:autoSpaceDE/>
        <w:autoSpaceDN/>
        <w:bidi w:val="0"/>
        <w:adjustRightInd/>
        <w:snapToGrid/>
        <w:spacing w:line="500" w:lineRule="exact"/>
        <w:ind w:firstLine="361" w:firstLineChars="150"/>
        <w:textAlignment w:val="auto"/>
        <w:rPr>
          <w:rFonts w:hint="eastAsia" w:asciiTheme="minorEastAsia" w:hAnsiTheme="minorEastAsia" w:eastAsiaTheme="minorEastAsia"/>
          <w:sz w:val="24"/>
          <w:szCs w:val="24"/>
        </w:rPr>
      </w:pPr>
      <w:r>
        <w:rPr>
          <w:rFonts w:hint="eastAsia" w:asciiTheme="minorEastAsia" w:hAnsiTheme="minorEastAsia" w:eastAsiaTheme="minorEastAsia"/>
          <w:b/>
          <w:bCs/>
          <w:sz w:val="24"/>
          <w:szCs w:val="24"/>
        </w:rPr>
        <w:t>（3）远程维护：</w:t>
      </w:r>
      <w:r>
        <w:rPr>
          <w:rFonts w:hint="eastAsia" w:asciiTheme="minorEastAsia" w:hAnsiTheme="minorEastAsia" w:eastAsiaTheme="minorEastAsia"/>
          <w:sz w:val="24"/>
          <w:szCs w:val="24"/>
        </w:rPr>
        <w:t>采购方建立远程维护环境。如系统需要远程维护，服务方首先通知采购方，然后通过远程vpn连接采购方服务器，或通过远程控制软件直接操作用户的界面，最后根据用户的问题描述来查找和解决问题。</w:t>
      </w:r>
    </w:p>
    <w:p w14:paraId="6301DC73">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eastAsia" w:cs="Times New Roman" w:asciiTheme="minorEastAsia" w:hAnsiTheme="minorEastAsia" w:eastAsiaTheme="minorEastAsia"/>
          <w:color w:val="auto"/>
          <w:kern w:val="2"/>
          <w:sz w:val="24"/>
          <w:szCs w:val="24"/>
          <w:lang w:val="en-US" w:eastAsia="zh-CN" w:bidi="ar-SA"/>
        </w:rPr>
      </w:pPr>
      <w:r>
        <w:rPr>
          <w:rFonts w:hint="eastAsia" w:asciiTheme="minorEastAsia" w:hAnsiTheme="minorEastAsia" w:eastAsiaTheme="minorEastAsia"/>
          <w:b/>
          <w:bCs/>
          <w:sz w:val="24"/>
          <w:szCs w:val="24"/>
        </w:rPr>
        <w:t>（4）现场维护：</w:t>
      </w:r>
      <w:r>
        <w:rPr>
          <w:rFonts w:hint="eastAsia" w:cs="Times New Roman" w:asciiTheme="minorEastAsia" w:hAnsiTheme="minorEastAsia" w:eastAsiaTheme="minorEastAsia"/>
          <w:color w:val="auto"/>
          <w:kern w:val="2"/>
          <w:sz w:val="24"/>
          <w:szCs w:val="24"/>
          <w:lang w:val="en-US" w:eastAsia="zh-CN" w:bidi="ar-SA"/>
        </w:rPr>
        <w:t>服务方根据采购方系统维护的需要，指派技术人员到达现场进行维护。为满足采购人系统维护需求，中标供应商需派遣1-2名资深工程师，具备丰富的运维经验，每周提供2天及以上的现场服务以处理系统维护相关问题。所有现场工程师均需具备至少两年以上的工作经验，并须进行备案管理。备案的现场人员必须遵守医院的上下班考勤制度，其考勤记录将作为服务验收的关键依据材料。</w:t>
      </w:r>
    </w:p>
    <w:p w14:paraId="2D9CD710">
      <w:pPr>
        <w:adjustRightInd w:val="0"/>
        <w:snapToGrid w:val="0"/>
        <w:spacing w:line="500" w:lineRule="exact"/>
        <w:ind w:firstLine="482" w:firstLineChars="200"/>
        <w:jc w:val="left"/>
        <w:rPr>
          <w:rFonts w:hint="eastAsia" w:asciiTheme="minorEastAsia" w:hAnsiTheme="minorEastAsia" w:eastAsiaTheme="minorEastAsia"/>
          <w:b/>
          <w:sz w:val="24"/>
          <w:szCs w:val="24"/>
        </w:rPr>
      </w:pPr>
      <w:r>
        <w:rPr>
          <w:rFonts w:asciiTheme="minorEastAsia" w:hAnsiTheme="minorEastAsia" w:eastAsiaTheme="minorEastAsia"/>
          <w:b/>
          <w:sz w:val="24"/>
          <w:szCs w:val="24"/>
        </w:rPr>
        <w:t>(</w:t>
      </w:r>
      <w:r>
        <w:rPr>
          <w:rFonts w:hint="eastAsia" w:asciiTheme="minorEastAsia" w:hAnsiTheme="minorEastAsia" w:eastAsiaTheme="minorEastAsia"/>
          <w:b/>
          <w:sz w:val="24"/>
          <w:szCs w:val="24"/>
        </w:rPr>
        <w:t>5)</w:t>
      </w:r>
      <w:r>
        <w:rPr>
          <w:rFonts w:asciiTheme="minorEastAsia" w:hAnsiTheme="minorEastAsia" w:eastAsiaTheme="minorEastAsia"/>
          <w:b/>
          <w:sz w:val="24"/>
          <w:szCs w:val="24"/>
        </w:rPr>
        <w:t xml:space="preserve"> </w:t>
      </w:r>
      <w:r>
        <w:rPr>
          <w:rFonts w:hint="eastAsia" w:asciiTheme="minorEastAsia" w:hAnsiTheme="minorEastAsia" w:eastAsiaTheme="minorEastAsia"/>
          <w:b/>
          <w:sz w:val="24"/>
          <w:szCs w:val="24"/>
        </w:rPr>
        <w:t>保证数据</w:t>
      </w:r>
      <w:r>
        <w:rPr>
          <w:rFonts w:asciiTheme="minorEastAsia" w:hAnsiTheme="minorEastAsia" w:eastAsiaTheme="minorEastAsia"/>
          <w:b/>
          <w:sz w:val="24"/>
          <w:szCs w:val="24"/>
        </w:rPr>
        <w:t>安全</w:t>
      </w:r>
    </w:p>
    <w:p w14:paraId="74F34BAA">
      <w:pPr>
        <w:adjustRightInd w:val="0"/>
        <w:snapToGrid w:val="0"/>
        <w:spacing w:line="500" w:lineRule="exact"/>
        <w:ind w:firstLine="600" w:firstLineChars="250"/>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维保</w:t>
      </w:r>
      <w:r>
        <w:rPr>
          <w:rFonts w:asciiTheme="minorEastAsia" w:hAnsiTheme="minorEastAsia" w:eastAsiaTheme="minorEastAsia"/>
          <w:sz w:val="24"/>
          <w:szCs w:val="24"/>
        </w:rPr>
        <w:t>技术人员</w:t>
      </w:r>
      <w:r>
        <w:rPr>
          <w:rFonts w:hint="eastAsia" w:asciiTheme="minorEastAsia" w:hAnsiTheme="minorEastAsia" w:eastAsiaTheme="minorEastAsia"/>
          <w:sz w:val="24"/>
          <w:szCs w:val="24"/>
        </w:rPr>
        <w:t>在进</w:t>
      </w:r>
      <w:r>
        <w:rPr>
          <w:rFonts w:asciiTheme="minorEastAsia" w:hAnsiTheme="minorEastAsia" w:eastAsiaTheme="minorEastAsia"/>
          <w:sz w:val="24"/>
          <w:szCs w:val="24"/>
        </w:rPr>
        <w:t>行</w:t>
      </w:r>
      <w:r>
        <w:rPr>
          <w:rFonts w:hint="eastAsia" w:asciiTheme="minorEastAsia" w:hAnsiTheme="minorEastAsia" w:eastAsiaTheme="minorEastAsia"/>
          <w:sz w:val="24"/>
          <w:szCs w:val="24"/>
        </w:rPr>
        <w:t>系统</w:t>
      </w:r>
      <w:r>
        <w:rPr>
          <w:rFonts w:asciiTheme="minorEastAsia" w:hAnsiTheme="minorEastAsia" w:eastAsiaTheme="minorEastAsia"/>
          <w:sz w:val="24"/>
          <w:szCs w:val="24"/>
        </w:rPr>
        <w:t>维护时</w:t>
      </w:r>
      <w:r>
        <w:rPr>
          <w:rFonts w:hint="eastAsia" w:asciiTheme="minorEastAsia" w:hAnsiTheme="minorEastAsia" w:eastAsiaTheme="minorEastAsia"/>
          <w:sz w:val="24"/>
          <w:szCs w:val="24"/>
        </w:rPr>
        <w:t>，必须</w:t>
      </w:r>
      <w:r>
        <w:rPr>
          <w:rFonts w:asciiTheme="minorEastAsia" w:hAnsiTheme="minorEastAsia" w:eastAsiaTheme="minorEastAsia"/>
          <w:sz w:val="24"/>
          <w:szCs w:val="24"/>
        </w:rPr>
        <w:t>保证</w:t>
      </w:r>
      <w:r>
        <w:rPr>
          <w:rFonts w:hint="eastAsia" w:asciiTheme="minorEastAsia" w:hAnsiTheme="minorEastAsia" w:eastAsiaTheme="minorEastAsia"/>
          <w:sz w:val="24"/>
          <w:szCs w:val="24"/>
        </w:rPr>
        <w:t>系统</w:t>
      </w:r>
      <w:r>
        <w:rPr>
          <w:rFonts w:asciiTheme="minorEastAsia" w:hAnsiTheme="minorEastAsia" w:eastAsiaTheme="minorEastAsia"/>
          <w:sz w:val="24"/>
          <w:szCs w:val="24"/>
        </w:rPr>
        <w:t>数据</w:t>
      </w:r>
      <w:r>
        <w:rPr>
          <w:rFonts w:hint="eastAsia" w:asciiTheme="minorEastAsia" w:hAnsiTheme="minorEastAsia" w:eastAsiaTheme="minorEastAsia"/>
          <w:sz w:val="24"/>
          <w:szCs w:val="24"/>
        </w:rPr>
        <w:t>的</w:t>
      </w:r>
      <w:r>
        <w:rPr>
          <w:rFonts w:asciiTheme="minorEastAsia" w:hAnsiTheme="minorEastAsia" w:eastAsiaTheme="minorEastAsia"/>
          <w:sz w:val="24"/>
          <w:szCs w:val="24"/>
        </w:rPr>
        <w:t>安全</w:t>
      </w:r>
      <w:r>
        <w:rPr>
          <w:rFonts w:hint="eastAsia" w:asciiTheme="minorEastAsia" w:hAnsiTheme="minorEastAsia" w:eastAsiaTheme="minorEastAsia"/>
          <w:sz w:val="24"/>
          <w:szCs w:val="24"/>
        </w:rPr>
        <w:t>及</w:t>
      </w:r>
      <w:r>
        <w:rPr>
          <w:rFonts w:asciiTheme="minorEastAsia" w:hAnsiTheme="minorEastAsia" w:eastAsiaTheme="minorEastAsia"/>
          <w:sz w:val="24"/>
          <w:szCs w:val="24"/>
        </w:rPr>
        <w:t>保密</w:t>
      </w:r>
      <w:r>
        <w:rPr>
          <w:rFonts w:hint="eastAsia" w:asciiTheme="minorEastAsia" w:hAnsiTheme="minorEastAsia" w:eastAsiaTheme="minorEastAsia"/>
          <w:sz w:val="24"/>
          <w:szCs w:val="24"/>
        </w:rPr>
        <w:t>。</w:t>
      </w:r>
    </w:p>
    <w:p w14:paraId="34AAA435">
      <w:pPr>
        <w:adjustRightInd w:val="0"/>
        <w:snapToGrid w:val="0"/>
        <w:spacing w:line="500" w:lineRule="exact"/>
        <w:jc w:val="left"/>
        <w:rPr>
          <w:rFonts w:hint="eastAsia" w:asciiTheme="minorEastAsia" w:hAnsiTheme="minorEastAsia" w:eastAsiaTheme="minorEastAsia"/>
          <w:sz w:val="24"/>
          <w:szCs w:val="24"/>
        </w:rPr>
      </w:pPr>
      <w:r>
        <w:rPr>
          <w:rFonts w:hint="eastAsia" w:asciiTheme="minorEastAsia" w:hAnsiTheme="minorEastAsia" w:eastAsiaTheme="minorEastAsia"/>
          <w:b/>
          <w:kern w:val="2"/>
          <w:sz w:val="24"/>
          <w:szCs w:val="24"/>
        </w:rPr>
        <w:t>4、服务响应时间要求</w:t>
      </w:r>
    </w:p>
    <w:p w14:paraId="116A4B04">
      <w:pPr>
        <w:pStyle w:val="11"/>
        <w:spacing w:line="500" w:lineRule="exact"/>
        <w:ind w:firstLine="361" w:firstLineChars="15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（1）电话维护：</w:t>
      </w:r>
      <w:r>
        <w:rPr>
          <w:rFonts w:hint="eastAsia" w:asciiTheme="minorEastAsia" w:hAnsiTheme="minorEastAsia" w:eastAsiaTheme="minorEastAsia"/>
          <w:sz w:val="24"/>
          <w:szCs w:val="24"/>
        </w:rPr>
        <w:t>要求服务方提供7*24小时服务；服务方接到采购方电话后，由专人负责接听并记录，1小时内将反馈意见或进行技术支持。如果电话支持解决不了，有需要进行远程维护的，则转为远程维护服务。</w:t>
      </w:r>
    </w:p>
    <w:p w14:paraId="35CC900D">
      <w:pPr>
        <w:pStyle w:val="11"/>
        <w:spacing w:line="500" w:lineRule="exact"/>
        <w:ind w:firstLine="318" w:firstLineChars="132"/>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（2）远程维护：</w:t>
      </w:r>
      <w:r>
        <w:rPr>
          <w:rFonts w:hint="eastAsia" w:asciiTheme="minorEastAsia" w:hAnsiTheme="minorEastAsia" w:eastAsiaTheme="minorEastAsia"/>
          <w:sz w:val="24"/>
          <w:szCs w:val="24"/>
        </w:rPr>
        <w:t>要求24小时内将反馈意见。</w:t>
      </w:r>
    </w:p>
    <w:p w14:paraId="03BF1406">
      <w:pPr>
        <w:pStyle w:val="11"/>
        <w:spacing w:line="500" w:lineRule="exact"/>
        <w:ind w:firstLine="361" w:firstLineChars="150"/>
        <w:rPr>
          <w:rFonts w:hint="eastAsia" w:asciiTheme="minorEastAsia" w:hAnsiTheme="minorEastAsia" w:eastAsiaTheme="minorEastAsia"/>
          <w:sz w:val="24"/>
          <w:szCs w:val="24"/>
        </w:rPr>
      </w:pPr>
      <w:r>
        <w:rPr>
          <w:rFonts w:hint="eastAsia" w:asciiTheme="minorEastAsia" w:hAnsiTheme="minorEastAsia" w:eastAsiaTheme="minorEastAsia"/>
          <w:b/>
          <w:bCs/>
          <w:sz w:val="24"/>
          <w:szCs w:val="24"/>
        </w:rPr>
        <w:t>（3）现场维护：</w:t>
      </w:r>
      <w:r>
        <w:rPr>
          <w:rFonts w:hint="eastAsia" w:asciiTheme="minorEastAsia" w:hAnsiTheme="minorEastAsia" w:eastAsiaTheme="minorEastAsia"/>
          <w:sz w:val="24"/>
          <w:szCs w:val="24"/>
        </w:rPr>
        <w:t>要求服务方确定需要进行现场维护之日起，24小时内到达用户现场（特殊情况除外）。</w:t>
      </w:r>
    </w:p>
    <w:p w14:paraId="546FE0BA">
      <w:pPr>
        <w:pStyle w:val="11"/>
        <w:spacing w:line="500" w:lineRule="exact"/>
        <w:ind w:firstLine="0" w:firstLineChars="0"/>
        <w:rPr>
          <w:rFonts w:hint="eastAsia" w:asciiTheme="minorEastAsia" w:hAnsiTheme="minorEastAsia" w:eastAsiaTheme="minorEastAsia"/>
          <w:bCs/>
          <w:sz w:val="24"/>
          <w:szCs w:val="24"/>
        </w:rPr>
      </w:pPr>
      <w:r>
        <w:rPr>
          <w:rFonts w:hint="eastAsia" w:asciiTheme="minorEastAsia" w:hAnsiTheme="minorEastAsia" w:eastAsiaTheme="minorEastAsia"/>
          <w:b/>
          <w:bCs/>
          <w:sz w:val="24"/>
          <w:szCs w:val="24"/>
        </w:rPr>
        <w:t>5、做</w:t>
      </w:r>
      <w:r>
        <w:rPr>
          <w:rFonts w:hint="eastAsia" w:cs="Times New Roman" w:asciiTheme="minorEastAsia" w:hAnsiTheme="minorEastAsia" w:eastAsiaTheme="minorEastAsia"/>
          <w:b/>
          <w:color w:val="000000"/>
          <w:kern w:val="2"/>
          <w:sz w:val="24"/>
          <w:szCs w:val="24"/>
          <w:lang w:val="en-US" w:eastAsia="zh-CN" w:bidi="ar-SA"/>
        </w:rPr>
        <w:t>好维保记录，每年提交院方</w:t>
      </w:r>
      <w:bookmarkStart w:id="1" w:name="_GoBack"/>
      <w:bookmarkEnd w:id="1"/>
    </w:p>
    <w:p w14:paraId="630D2266">
      <w:pPr>
        <w:pStyle w:val="11"/>
        <w:spacing w:line="500" w:lineRule="exact"/>
        <w:ind w:firstLine="480"/>
        <w:rPr>
          <w:rFonts w:hint="eastAsia" w:asciiTheme="minorEastAsia" w:hAnsiTheme="minorEastAsia" w:eastAsiaTheme="minor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彩虹粗仿宋">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A4AEBB"/>
    <w:multiLevelType w:val="singleLevel"/>
    <w:tmpl w:val="AEA4AEBB"/>
    <w:lvl w:ilvl="0" w:tentative="0">
      <w:start w:val="1"/>
      <w:numFmt w:val="decimal"/>
      <w:lvlText w:val="%1."/>
      <w:lvlJc w:val="left"/>
      <w:pPr>
        <w:tabs>
          <w:tab w:val="left" w:pos="312"/>
        </w:tabs>
      </w:pPr>
    </w:lvl>
  </w:abstractNum>
  <w:abstractNum w:abstractNumId="1">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4"/>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796"/>
    <w:rsid w:val="00090DD9"/>
    <w:rsid w:val="000C5314"/>
    <w:rsid w:val="000D0466"/>
    <w:rsid w:val="000D066F"/>
    <w:rsid w:val="00183848"/>
    <w:rsid w:val="00221E59"/>
    <w:rsid w:val="00227E2A"/>
    <w:rsid w:val="00233C8B"/>
    <w:rsid w:val="0025308D"/>
    <w:rsid w:val="003A1ED2"/>
    <w:rsid w:val="00497937"/>
    <w:rsid w:val="004A64C2"/>
    <w:rsid w:val="004C2B75"/>
    <w:rsid w:val="004C2CBD"/>
    <w:rsid w:val="00584017"/>
    <w:rsid w:val="005A6C97"/>
    <w:rsid w:val="006623BE"/>
    <w:rsid w:val="0068182D"/>
    <w:rsid w:val="00681A4D"/>
    <w:rsid w:val="006A5BCC"/>
    <w:rsid w:val="006A70DF"/>
    <w:rsid w:val="00753A64"/>
    <w:rsid w:val="008253D1"/>
    <w:rsid w:val="008924B7"/>
    <w:rsid w:val="00985644"/>
    <w:rsid w:val="009B39F0"/>
    <w:rsid w:val="00A032A3"/>
    <w:rsid w:val="00A55796"/>
    <w:rsid w:val="00AC79D1"/>
    <w:rsid w:val="00AE2248"/>
    <w:rsid w:val="00B84007"/>
    <w:rsid w:val="00BE6BF3"/>
    <w:rsid w:val="00C305B5"/>
    <w:rsid w:val="00C6692B"/>
    <w:rsid w:val="00C70E38"/>
    <w:rsid w:val="00CE1CD9"/>
    <w:rsid w:val="00D2079D"/>
    <w:rsid w:val="00D50593"/>
    <w:rsid w:val="00D5235B"/>
    <w:rsid w:val="00D77F6A"/>
    <w:rsid w:val="00D9004D"/>
    <w:rsid w:val="00E81F74"/>
    <w:rsid w:val="00EA0468"/>
    <w:rsid w:val="00F2636A"/>
    <w:rsid w:val="00F40B26"/>
    <w:rsid w:val="11F47CAB"/>
    <w:rsid w:val="1B340AB0"/>
    <w:rsid w:val="25B922DD"/>
    <w:rsid w:val="2F435928"/>
    <w:rsid w:val="461654D0"/>
    <w:rsid w:val="574B6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kern w:val="0"/>
      <w:sz w:val="21"/>
      <w:szCs w:val="20"/>
      <w:lang w:val="en-US" w:eastAsia="zh-CN" w:bidi="ar-SA"/>
    </w:rPr>
  </w:style>
  <w:style w:type="paragraph" w:styleId="2">
    <w:name w:val="heading 1"/>
    <w:basedOn w:val="1"/>
    <w:next w:val="1"/>
    <w:link w:val="13"/>
    <w:qFormat/>
    <w:uiPriority w:val="99"/>
    <w:pPr>
      <w:keepNext/>
      <w:keepLines/>
      <w:numPr>
        <w:ilvl w:val="0"/>
        <w:numId w:val="1"/>
      </w:numPr>
      <w:autoSpaceDE w:val="0"/>
      <w:autoSpaceDN w:val="0"/>
      <w:adjustRightInd w:val="0"/>
      <w:snapToGrid w:val="0"/>
      <w:spacing w:beforeLines="100" w:line="480" w:lineRule="auto"/>
      <w:jc w:val="center"/>
      <w:textAlignment w:val="baseline"/>
      <w:outlineLvl w:val="0"/>
    </w:pPr>
    <w:rPr>
      <w:rFonts w:ascii="黑体" w:eastAsia="黑体"/>
      <w:bCs/>
      <w:color w:val="auto"/>
      <w:kern w:val="44"/>
      <w:sz w:val="24"/>
    </w:rPr>
  </w:style>
  <w:style w:type="paragraph" w:styleId="3">
    <w:name w:val="heading 2"/>
    <w:basedOn w:val="1"/>
    <w:next w:val="1"/>
    <w:link w:val="14"/>
    <w:qFormat/>
    <w:uiPriority w:val="0"/>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color w:val="auto"/>
      <w:kern w:val="44"/>
    </w:rPr>
  </w:style>
  <w:style w:type="paragraph" w:styleId="4">
    <w:name w:val="heading 3"/>
    <w:basedOn w:val="1"/>
    <w:next w:val="1"/>
    <w:link w:val="15"/>
    <w:qFormat/>
    <w:uiPriority w:val="0"/>
    <w:pPr>
      <w:keepNext/>
      <w:keepLines/>
      <w:widowControl/>
      <w:numPr>
        <w:ilvl w:val="2"/>
        <w:numId w:val="1"/>
      </w:numPr>
      <w:tabs>
        <w:tab w:val="left" w:pos="753"/>
        <w:tab w:val="clear" w:pos="720"/>
      </w:tabs>
      <w:autoSpaceDE w:val="0"/>
      <w:autoSpaceDN w:val="0"/>
      <w:adjustRightInd w:val="0"/>
      <w:snapToGrid w:val="0"/>
      <w:spacing w:before="260" w:after="260" w:line="360" w:lineRule="auto"/>
      <w:textAlignment w:val="baseline"/>
      <w:outlineLvl w:val="2"/>
    </w:pPr>
    <w:rPr>
      <w:rFonts w:ascii="黑体" w:eastAsia="黑体"/>
      <w:bCs/>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paragraph" w:customStyle="1" w:styleId="11">
    <w:name w:val="正文11111"/>
    <w:basedOn w:val="1"/>
    <w:link w:val="12"/>
    <w:qFormat/>
    <w:uiPriority w:val="0"/>
    <w:pPr>
      <w:spacing w:line="360" w:lineRule="auto"/>
      <w:ind w:firstLine="200" w:firstLineChars="200"/>
    </w:pPr>
    <w:rPr>
      <w:rFonts w:ascii="仿宋_GB2312" w:eastAsia="仿宋_GB2312"/>
      <w:color w:val="auto"/>
      <w:kern w:val="2"/>
      <w:sz w:val="32"/>
    </w:rPr>
  </w:style>
  <w:style w:type="character" w:customStyle="1" w:styleId="12">
    <w:name w:val="正文11111 Char"/>
    <w:basedOn w:val="8"/>
    <w:link w:val="11"/>
    <w:qFormat/>
    <w:uiPriority w:val="0"/>
    <w:rPr>
      <w:rFonts w:ascii="仿宋_GB2312" w:hAnsi="Times New Roman" w:eastAsia="仿宋_GB2312" w:cs="Times New Roman"/>
      <w:sz w:val="32"/>
      <w:szCs w:val="20"/>
    </w:rPr>
  </w:style>
  <w:style w:type="character" w:customStyle="1" w:styleId="13">
    <w:name w:val="标题 1 字符"/>
    <w:basedOn w:val="8"/>
    <w:link w:val="2"/>
    <w:qFormat/>
    <w:uiPriority w:val="99"/>
    <w:rPr>
      <w:rFonts w:ascii="黑体" w:hAnsi="Times New Roman" w:eastAsia="黑体" w:cs="Times New Roman"/>
      <w:bCs/>
      <w:kern w:val="44"/>
      <w:sz w:val="24"/>
      <w:szCs w:val="20"/>
    </w:rPr>
  </w:style>
  <w:style w:type="character" w:customStyle="1" w:styleId="14">
    <w:name w:val="标题 2 字符"/>
    <w:basedOn w:val="8"/>
    <w:link w:val="3"/>
    <w:qFormat/>
    <w:uiPriority w:val="0"/>
    <w:rPr>
      <w:rFonts w:ascii="黑体" w:hAnsi="宋体" w:eastAsia="黑体" w:cs="Times New Roman"/>
      <w:bCs/>
      <w:kern w:val="44"/>
      <w:szCs w:val="20"/>
    </w:rPr>
  </w:style>
  <w:style w:type="character" w:customStyle="1" w:styleId="15">
    <w:name w:val="标题 3 字符"/>
    <w:basedOn w:val="8"/>
    <w:link w:val="4"/>
    <w:qFormat/>
    <w:uiPriority w:val="0"/>
    <w:rPr>
      <w:rFonts w:ascii="黑体" w:hAnsi="Times New Roman" w:eastAsia="黑体" w:cs="Times New Roman"/>
      <w:bCs/>
      <w:color w:val="000000"/>
      <w:kern w:val="0"/>
      <w:szCs w:val="20"/>
    </w:rPr>
  </w:style>
  <w:style w:type="character" w:customStyle="1" w:styleId="16">
    <w:name w:val="fontstyle01"/>
    <w:qFormat/>
    <w:uiPriority w:val="0"/>
    <w:rPr>
      <w:rFonts w:hint="eastAsia" w:ascii="宋体" w:hAnsi="宋体" w:eastAsia="宋体"/>
      <w:color w:val="000000"/>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4819</Words>
  <Characters>4946</Characters>
  <Lines>17</Lines>
  <Paragraphs>4</Paragraphs>
  <TotalTime>11</TotalTime>
  <ScaleCrop>false</ScaleCrop>
  <LinksUpToDate>false</LinksUpToDate>
  <CharactersWithSpaces>5128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2025-04-23T02:57:00Z</dcterms:created>
  <dc:creator>微软用户</dc:creator>
  <cp:lastModifiedBy>权</cp:lastModifiedBy>
  <cp:lastPrinted>2026-07-08T02:54:00Z</cp:lastPrinted>
  <dcterms:modified xsi:type="dcterms:W3CDTF">2026-07-08T09:14:10Z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6CD81B4176054BD5B9E67901E72998A3_13</vt:lpwstr>
  </property>
  <property fmtid="{D5CDD505-2E9C-101B-9397-08002B2CF9AE}" pid="4" name="KSOTemplateDocerSaveRecord">
    <vt:lpwstr>eyJoZGlkIjoiODM3MTg4ZjM2OTJlODM4MGMzMTk1Njc5ZjYyZGU1MGIiLCJ1c2VySWQiOiIzNTM5MjA2MTAifQ==</vt:lpwstr>
  </property>
</Properties>
</file>