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569897">
      <w:pPr>
        <w:jc w:val="center"/>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b/>
          <w:sz w:val="44"/>
          <w:szCs w:val="44"/>
          <w:lang w:eastAsia="zh-CN"/>
        </w:rPr>
        <w:t>阳江市中医医院</w:t>
      </w:r>
      <w:r>
        <w:rPr>
          <w:rFonts w:hint="eastAsia" w:ascii="方正小标宋_GBK" w:hAnsi="方正小标宋_GBK" w:eastAsia="方正小标宋_GBK" w:cs="方正小标宋_GBK"/>
          <w:b/>
          <w:sz w:val="44"/>
          <w:szCs w:val="44"/>
        </w:rPr>
        <w:t>公众责任险需求方案</w:t>
      </w:r>
    </w:p>
    <w:tbl>
      <w:tblPr>
        <w:tblStyle w:val="2"/>
        <w:tblpPr w:leftFromText="180" w:rightFromText="180" w:vertAnchor="text" w:horzAnchor="page" w:tblpXSpec="center" w:tblpY="602"/>
        <w:tblOverlap w:val="never"/>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533"/>
        <w:gridCol w:w="5983"/>
      </w:tblGrid>
      <w:tr w14:paraId="3C8025E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2533" w:type="dxa"/>
            <w:tcBorders>
              <w:tl2br w:val="nil"/>
              <w:tr2bl w:val="nil"/>
            </w:tcBorders>
            <w:tcMar>
              <w:top w:w="0" w:type="dxa"/>
              <w:left w:w="105" w:type="dxa"/>
              <w:bottom w:w="0" w:type="dxa"/>
              <w:right w:w="105" w:type="dxa"/>
            </w:tcMar>
            <w:vAlign w:val="top"/>
          </w:tcPr>
          <w:p w14:paraId="2142616C">
            <w:pPr>
              <w:pStyle w:val="4"/>
              <w:jc w:val="center"/>
              <w:rPr>
                <w:rFonts w:hint="eastAsia" w:ascii="方正黑体_GBK" w:hAnsi="方正黑体_GBK" w:eastAsia="方正黑体_GBK" w:cs="方正黑体_GBK"/>
                <w:sz w:val="28"/>
                <w:szCs w:val="28"/>
                <w:lang w:val="en-US" w:eastAsia="zh-CN"/>
              </w:rPr>
            </w:pPr>
            <w:r>
              <w:rPr>
                <w:rFonts w:hint="eastAsia" w:ascii="方正黑体_GBK" w:hAnsi="方正黑体_GBK" w:eastAsia="方正黑体_GBK" w:cs="方正黑体_GBK"/>
                <w:b/>
                <w:sz w:val="28"/>
                <w:szCs w:val="28"/>
              </w:rPr>
              <w:t>被保险人业务范围</w:t>
            </w:r>
          </w:p>
        </w:tc>
        <w:tc>
          <w:tcPr>
            <w:tcW w:w="5983" w:type="dxa"/>
            <w:tcBorders>
              <w:tl2br w:val="nil"/>
              <w:tr2bl w:val="nil"/>
            </w:tcBorders>
            <w:tcMar>
              <w:top w:w="0" w:type="dxa"/>
              <w:left w:w="105" w:type="dxa"/>
              <w:bottom w:w="0" w:type="dxa"/>
              <w:right w:w="105" w:type="dxa"/>
            </w:tcMar>
            <w:vAlign w:val="center"/>
          </w:tcPr>
          <w:p w14:paraId="2A8113E7">
            <w:pPr>
              <w:pStyle w:val="4"/>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sz w:val="28"/>
                <w:szCs w:val="28"/>
                <w:lang w:val="en-US"/>
              </w:rPr>
            </w:pPr>
            <w:r>
              <w:rPr>
                <w:rFonts w:hint="eastAsia" w:ascii="方正仿宋_GBK" w:hAnsi="方正仿宋_GBK" w:eastAsia="方正仿宋_GBK" w:cs="方正仿宋_GBK"/>
                <w:sz w:val="28"/>
                <w:szCs w:val="28"/>
              </w:rPr>
              <w:t>以《执业许可证》登记为准</w:t>
            </w:r>
          </w:p>
        </w:tc>
      </w:tr>
      <w:tr w14:paraId="108F8F8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2533" w:type="dxa"/>
            <w:tcBorders>
              <w:tl2br w:val="nil"/>
              <w:tr2bl w:val="nil"/>
            </w:tcBorders>
            <w:tcMar>
              <w:top w:w="0" w:type="dxa"/>
              <w:left w:w="105" w:type="dxa"/>
              <w:bottom w:w="0" w:type="dxa"/>
              <w:right w:w="105" w:type="dxa"/>
            </w:tcMar>
            <w:vAlign w:val="top"/>
          </w:tcPr>
          <w:p w14:paraId="76387F9D">
            <w:pPr>
              <w:pStyle w:val="4"/>
              <w:jc w:val="center"/>
              <w:rPr>
                <w:rFonts w:hint="eastAsia" w:ascii="方正黑体_GBK" w:hAnsi="方正黑体_GBK" w:eastAsia="方正黑体_GBK" w:cs="方正黑体_GBK"/>
                <w:sz w:val="28"/>
                <w:szCs w:val="28"/>
              </w:rPr>
            </w:pPr>
            <w:r>
              <w:rPr>
                <w:rFonts w:hint="eastAsia" w:ascii="方正黑体_GBK" w:hAnsi="方正黑体_GBK" w:eastAsia="方正黑体_GBK" w:cs="方正黑体_GBK"/>
                <w:b/>
                <w:sz w:val="28"/>
                <w:szCs w:val="28"/>
              </w:rPr>
              <w:t>保险期限</w:t>
            </w:r>
          </w:p>
        </w:tc>
        <w:tc>
          <w:tcPr>
            <w:tcW w:w="5983" w:type="dxa"/>
            <w:tcBorders>
              <w:tl2br w:val="nil"/>
              <w:tr2bl w:val="nil"/>
            </w:tcBorders>
            <w:tcMar>
              <w:top w:w="0" w:type="dxa"/>
              <w:left w:w="105" w:type="dxa"/>
              <w:bottom w:w="0" w:type="dxa"/>
              <w:right w:w="105" w:type="dxa"/>
            </w:tcMar>
            <w:vAlign w:val="top"/>
          </w:tcPr>
          <w:p w14:paraId="33A91B9F">
            <w:pPr>
              <w:pStyle w:val="4"/>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一年</w:t>
            </w:r>
          </w:p>
        </w:tc>
      </w:tr>
      <w:tr w14:paraId="0E43544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2533" w:type="dxa"/>
            <w:tcBorders>
              <w:tl2br w:val="nil"/>
              <w:tr2bl w:val="nil"/>
            </w:tcBorders>
            <w:tcMar>
              <w:top w:w="0" w:type="dxa"/>
              <w:left w:w="105" w:type="dxa"/>
              <w:bottom w:w="0" w:type="dxa"/>
              <w:right w:w="105" w:type="dxa"/>
            </w:tcMar>
            <w:vAlign w:val="top"/>
          </w:tcPr>
          <w:p w14:paraId="4E17C7BF">
            <w:pPr>
              <w:pStyle w:val="4"/>
              <w:jc w:val="center"/>
              <w:rPr>
                <w:rFonts w:hint="eastAsia" w:ascii="方正黑体_GBK" w:hAnsi="方正黑体_GBK" w:eastAsia="方正黑体_GBK" w:cs="方正黑体_GBK"/>
                <w:sz w:val="28"/>
                <w:szCs w:val="28"/>
              </w:rPr>
            </w:pPr>
            <w:r>
              <w:rPr>
                <w:rFonts w:hint="eastAsia" w:ascii="方正黑体_GBK" w:hAnsi="方正黑体_GBK" w:eastAsia="方正黑体_GBK" w:cs="方正黑体_GBK"/>
                <w:b/>
                <w:sz w:val="28"/>
                <w:szCs w:val="28"/>
              </w:rPr>
              <w:t>承保地域</w:t>
            </w:r>
          </w:p>
        </w:tc>
        <w:tc>
          <w:tcPr>
            <w:tcW w:w="5983" w:type="dxa"/>
            <w:tcBorders>
              <w:tl2br w:val="nil"/>
              <w:tr2bl w:val="nil"/>
            </w:tcBorders>
            <w:tcMar>
              <w:top w:w="0" w:type="dxa"/>
              <w:left w:w="105" w:type="dxa"/>
              <w:bottom w:w="0" w:type="dxa"/>
              <w:right w:w="105" w:type="dxa"/>
            </w:tcMar>
            <w:vAlign w:val="top"/>
          </w:tcPr>
          <w:p w14:paraId="301FCF39">
            <w:pPr>
              <w:pStyle w:val="4"/>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包括但不限于被保险医疗机构所在地及其周边地区</w:t>
            </w:r>
          </w:p>
        </w:tc>
      </w:tr>
      <w:tr w14:paraId="4C90FE4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2533" w:type="dxa"/>
            <w:tcBorders>
              <w:tl2br w:val="nil"/>
              <w:tr2bl w:val="nil"/>
            </w:tcBorders>
            <w:tcMar>
              <w:top w:w="0" w:type="dxa"/>
              <w:left w:w="105" w:type="dxa"/>
              <w:bottom w:w="0" w:type="dxa"/>
              <w:right w:w="105" w:type="dxa"/>
            </w:tcMar>
            <w:vAlign w:val="top"/>
          </w:tcPr>
          <w:p w14:paraId="5AB6E08D">
            <w:pPr>
              <w:pStyle w:val="4"/>
              <w:jc w:val="center"/>
              <w:rPr>
                <w:rFonts w:hint="eastAsia" w:ascii="方正黑体_GBK" w:hAnsi="方正黑体_GBK" w:eastAsia="方正黑体_GBK" w:cs="方正黑体_GBK"/>
                <w:sz w:val="28"/>
                <w:szCs w:val="28"/>
              </w:rPr>
            </w:pPr>
            <w:r>
              <w:rPr>
                <w:rFonts w:hint="eastAsia" w:ascii="方正黑体_GBK" w:hAnsi="方正黑体_GBK" w:eastAsia="方正黑体_GBK" w:cs="方正黑体_GBK"/>
                <w:b/>
                <w:sz w:val="28"/>
                <w:szCs w:val="28"/>
              </w:rPr>
              <w:t>适用条款</w:t>
            </w:r>
          </w:p>
        </w:tc>
        <w:tc>
          <w:tcPr>
            <w:tcW w:w="5983" w:type="dxa"/>
            <w:tcBorders>
              <w:tl2br w:val="nil"/>
              <w:tr2bl w:val="nil"/>
            </w:tcBorders>
            <w:tcMar>
              <w:top w:w="0" w:type="dxa"/>
              <w:left w:w="105" w:type="dxa"/>
              <w:bottom w:w="0" w:type="dxa"/>
              <w:right w:w="105" w:type="dxa"/>
            </w:tcMar>
            <w:vAlign w:val="top"/>
          </w:tcPr>
          <w:p w14:paraId="35772F38">
            <w:pPr>
              <w:pStyle w:val="4"/>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详见《广东医疗机构公众责任保险条款》，保险人提供的条款应优于所附条款</w:t>
            </w:r>
          </w:p>
        </w:tc>
      </w:tr>
      <w:tr w14:paraId="7B1AEAB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2533" w:type="dxa"/>
            <w:tcBorders>
              <w:tl2br w:val="nil"/>
              <w:tr2bl w:val="nil"/>
            </w:tcBorders>
            <w:tcMar>
              <w:top w:w="0" w:type="dxa"/>
              <w:left w:w="105" w:type="dxa"/>
              <w:bottom w:w="0" w:type="dxa"/>
              <w:right w:w="105" w:type="dxa"/>
            </w:tcMar>
            <w:vAlign w:val="top"/>
          </w:tcPr>
          <w:p w14:paraId="4BD56F94">
            <w:pPr>
              <w:pStyle w:val="4"/>
              <w:jc w:val="center"/>
              <w:rPr>
                <w:rFonts w:hint="eastAsia" w:ascii="方正黑体_GBK" w:hAnsi="方正黑体_GBK" w:eastAsia="方正黑体_GBK" w:cs="方正黑体_GBK"/>
                <w:sz w:val="28"/>
                <w:szCs w:val="28"/>
              </w:rPr>
            </w:pPr>
            <w:r>
              <w:rPr>
                <w:rFonts w:hint="eastAsia" w:ascii="方正黑体_GBK" w:hAnsi="方正黑体_GBK" w:eastAsia="方正黑体_GBK" w:cs="方正黑体_GBK"/>
                <w:b/>
                <w:sz w:val="28"/>
                <w:szCs w:val="28"/>
              </w:rPr>
              <w:t>保险责任</w:t>
            </w:r>
          </w:p>
        </w:tc>
        <w:tc>
          <w:tcPr>
            <w:tcW w:w="5983" w:type="dxa"/>
            <w:tcBorders>
              <w:tl2br w:val="nil"/>
              <w:tr2bl w:val="nil"/>
            </w:tcBorders>
            <w:tcMar>
              <w:top w:w="0" w:type="dxa"/>
              <w:left w:w="105" w:type="dxa"/>
              <w:bottom w:w="0" w:type="dxa"/>
              <w:right w:w="105" w:type="dxa"/>
            </w:tcMar>
            <w:vAlign w:val="top"/>
          </w:tcPr>
          <w:p w14:paraId="5C050CB7">
            <w:pPr>
              <w:pStyle w:val="4"/>
              <w:keepNext w:val="0"/>
              <w:keepLines w:val="0"/>
              <w:pageBreakBefore w:val="0"/>
              <w:widowControl/>
              <w:kinsoku/>
              <w:wordWrap/>
              <w:overflowPunct/>
              <w:topLinePunct w:val="0"/>
              <w:autoSpaceDE/>
              <w:autoSpaceDN/>
              <w:bidi w:val="0"/>
              <w:adjustRightInd/>
              <w:snapToGrid/>
              <w:spacing w:line="560" w:lineRule="exact"/>
              <w:ind w:firstLine="560" w:firstLineChars="200"/>
              <w:jc w:val="left"/>
              <w:textAlignment w:val="auto"/>
              <w:rPr>
                <w:rFonts w:hint="eastAsia" w:ascii="方正仿宋_GBK" w:hAnsi="方正仿宋_GBK" w:eastAsia="方正仿宋_GBK" w:cs="方正仿宋_GBK"/>
                <w:sz w:val="28"/>
                <w:szCs w:val="28"/>
                <w:lang w:eastAsia="zh-CN"/>
              </w:rPr>
            </w:pPr>
            <w:r>
              <w:rPr>
                <w:rFonts w:hint="eastAsia" w:ascii="方正仿宋_GBK" w:hAnsi="方正仿宋_GBK" w:eastAsia="方正仿宋_GBK" w:cs="方正仿宋_GBK"/>
                <w:sz w:val="28"/>
                <w:szCs w:val="28"/>
              </w:rPr>
              <w:t>在保险期间内，被保险人在保险单载明的区域范围内因经营业务发生意外事故，造成第三者的人身伤亡或财产损失，依照中华人民共和国法律（不包括港澳台地区法律）应由被保险人承担的经济赔偿责任，保险人按照本项目保险合同约定负责赔偿。</w:t>
            </w:r>
            <w:r>
              <w:rPr>
                <w:rFonts w:hint="eastAsia" w:ascii="方正仿宋_GBK" w:hAnsi="方正仿宋_GBK" w:eastAsia="方正仿宋_GBK" w:cs="方正仿宋_GBK"/>
                <w:sz w:val="28"/>
                <w:szCs w:val="28"/>
                <w:lang w:eastAsia="zh-CN"/>
              </w:rPr>
              <w:t>保险人在保险期间要提供调解服务。</w:t>
            </w:r>
          </w:p>
        </w:tc>
      </w:tr>
      <w:tr w14:paraId="0F9643A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2533" w:type="dxa"/>
            <w:tcBorders>
              <w:tl2br w:val="nil"/>
              <w:tr2bl w:val="nil"/>
            </w:tcBorders>
            <w:tcMar>
              <w:top w:w="0" w:type="dxa"/>
              <w:left w:w="105" w:type="dxa"/>
              <w:bottom w:w="0" w:type="dxa"/>
              <w:right w:w="105" w:type="dxa"/>
            </w:tcMar>
            <w:vAlign w:val="top"/>
          </w:tcPr>
          <w:p w14:paraId="6E508445">
            <w:pPr>
              <w:pStyle w:val="4"/>
              <w:jc w:val="center"/>
              <w:rPr>
                <w:rFonts w:hint="eastAsia" w:ascii="方正黑体_GBK" w:hAnsi="方正黑体_GBK" w:eastAsia="方正黑体_GBK" w:cs="方正黑体_GBK"/>
                <w:sz w:val="28"/>
                <w:szCs w:val="28"/>
              </w:rPr>
            </w:pPr>
            <w:r>
              <w:rPr>
                <w:rFonts w:hint="eastAsia" w:ascii="方正黑体_GBK" w:hAnsi="方正黑体_GBK" w:eastAsia="方正黑体_GBK" w:cs="方正黑体_GBK"/>
                <w:sz w:val="28"/>
                <w:szCs w:val="28"/>
              </w:rPr>
              <w:t>★</w:t>
            </w:r>
            <w:r>
              <w:rPr>
                <w:rFonts w:hint="eastAsia" w:ascii="方正黑体_GBK" w:hAnsi="方正黑体_GBK" w:eastAsia="方正黑体_GBK" w:cs="方正黑体_GBK"/>
                <w:b/>
                <w:sz w:val="28"/>
                <w:szCs w:val="28"/>
              </w:rPr>
              <w:t>赔偿限额</w:t>
            </w:r>
          </w:p>
        </w:tc>
        <w:tc>
          <w:tcPr>
            <w:tcW w:w="5983" w:type="dxa"/>
            <w:tcBorders>
              <w:tl2br w:val="nil"/>
              <w:tr2bl w:val="nil"/>
            </w:tcBorders>
            <w:tcMar>
              <w:top w:w="0" w:type="dxa"/>
              <w:left w:w="105" w:type="dxa"/>
              <w:bottom w:w="0" w:type="dxa"/>
              <w:right w:w="105" w:type="dxa"/>
            </w:tcMar>
            <w:vAlign w:val="top"/>
          </w:tcPr>
          <w:p w14:paraId="0315D21C">
            <w:pPr>
              <w:pStyle w:val="4"/>
              <w:keepNext w:val="0"/>
              <w:keepLines w:val="0"/>
              <w:pageBreakBefore w:val="0"/>
              <w:widowControl/>
              <w:kinsoku/>
              <w:wordWrap/>
              <w:overflowPunct/>
              <w:topLinePunct w:val="0"/>
              <w:autoSpaceDE/>
              <w:autoSpaceDN/>
              <w:bidi w:val="0"/>
              <w:adjustRightInd/>
              <w:snapToGrid/>
              <w:spacing w:line="560" w:lineRule="exact"/>
              <w:jc w:val="left"/>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 xml:space="preserve">累计赔偿限额： </w:t>
            </w:r>
            <w:r>
              <w:rPr>
                <w:rFonts w:hint="default" w:ascii="Times New Roman" w:hAnsi="Times New Roman" w:eastAsia="方正仿宋_GBK" w:cs="Times New Roman"/>
                <w:b/>
                <w:sz w:val="28"/>
                <w:szCs w:val="28"/>
                <w:lang w:val="en-US" w:eastAsia="zh-CN"/>
              </w:rPr>
              <w:t>5</w:t>
            </w:r>
            <w:r>
              <w:rPr>
                <w:rFonts w:hint="default" w:ascii="Times New Roman" w:hAnsi="Times New Roman" w:eastAsia="方正仿宋_GBK" w:cs="Times New Roman"/>
                <w:b/>
                <w:sz w:val="28"/>
                <w:szCs w:val="28"/>
              </w:rPr>
              <w:t>00</w:t>
            </w:r>
            <w:r>
              <w:rPr>
                <w:rFonts w:hint="eastAsia" w:ascii="方正仿宋_GBK" w:hAnsi="方正仿宋_GBK" w:eastAsia="方正仿宋_GBK" w:cs="方正仿宋_GBK"/>
                <w:b/>
                <w:sz w:val="28"/>
                <w:szCs w:val="28"/>
              </w:rPr>
              <w:t>万元</w:t>
            </w:r>
          </w:p>
          <w:p w14:paraId="6762AA39">
            <w:pPr>
              <w:pStyle w:val="4"/>
              <w:keepNext w:val="0"/>
              <w:keepLines w:val="0"/>
              <w:pageBreakBefore w:val="0"/>
              <w:widowControl/>
              <w:kinsoku/>
              <w:wordWrap/>
              <w:overflowPunct/>
              <w:topLinePunct w:val="0"/>
              <w:autoSpaceDE/>
              <w:autoSpaceDN/>
              <w:bidi w:val="0"/>
              <w:adjustRightInd/>
              <w:snapToGrid/>
              <w:spacing w:line="560" w:lineRule="exact"/>
              <w:jc w:val="left"/>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其中，每次事故赔偿限额</w:t>
            </w:r>
            <w:r>
              <w:rPr>
                <w:rFonts w:hint="eastAsia" w:ascii="方正仿宋_GBK" w:hAnsi="方正仿宋_GBK" w:eastAsia="方正仿宋_GBK" w:cs="方正仿宋_GBK"/>
                <w:b/>
                <w:sz w:val="28"/>
                <w:szCs w:val="28"/>
              </w:rPr>
              <w:t xml:space="preserve">： </w:t>
            </w:r>
            <w:r>
              <w:rPr>
                <w:rFonts w:hint="eastAsia" w:ascii="Times New Roman" w:hAnsi="Times New Roman" w:eastAsia="方正仿宋_GBK" w:cs="Times New Roman"/>
                <w:b/>
                <w:sz w:val="28"/>
                <w:szCs w:val="28"/>
                <w:lang w:val="en-US" w:eastAsia="zh-CN"/>
              </w:rPr>
              <w:t>500</w:t>
            </w:r>
            <w:r>
              <w:rPr>
                <w:rFonts w:hint="eastAsia" w:ascii="方正仿宋_GBK" w:hAnsi="方正仿宋_GBK" w:eastAsia="方正仿宋_GBK" w:cs="方正仿宋_GBK"/>
                <w:b/>
                <w:sz w:val="28"/>
                <w:szCs w:val="28"/>
              </w:rPr>
              <w:t>万元</w:t>
            </w:r>
          </w:p>
          <w:p w14:paraId="4CFE0D60">
            <w:pPr>
              <w:pStyle w:val="4"/>
              <w:keepNext w:val="0"/>
              <w:keepLines w:val="0"/>
              <w:pageBreakBefore w:val="0"/>
              <w:widowControl/>
              <w:kinsoku/>
              <w:wordWrap/>
              <w:overflowPunct/>
              <w:topLinePunct w:val="0"/>
              <w:autoSpaceDE/>
              <w:autoSpaceDN/>
              <w:bidi w:val="0"/>
              <w:adjustRightInd/>
              <w:snapToGrid/>
              <w:spacing w:line="560" w:lineRule="exact"/>
              <w:jc w:val="left"/>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 xml:space="preserve">每次事故每人赔偿限额： </w:t>
            </w:r>
            <w:r>
              <w:rPr>
                <w:rFonts w:hint="eastAsia" w:ascii="Times New Roman" w:hAnsi="Times New Roman" w:eastAsia="方正仿宋_GBK" w:cs="Times New Roman"/>
                <w:b/>
                <w:sz w:val="28"/>
                <w:szCs w:val="28"/>
                <w:lang w:val="en-US" w:eastAsia="zh-CN"/>
              </w:rPr>
              <w:t>60</w:t>
            </w:r>
            <w:r>
              <w:rPr>
                <w:rFonts w:hint="eastAsia" w:ascii="方正仿宋_GBK" w:hAnsi="方正仿宋_GBK" w:eastAsia="方正仿宋_GBK" w:cs="方正仿宋_GBK"/>
                <w:b/>
                <w:sz w:val="28"/>
                <w:szCs w:val="28"/>
              </w:rPr>
              <w:t>万元</w:t>
            </w:r>
          </w:p>
          <w:p w14:paraId="714DA0AD">
            <w:pPr>
              <w:pStyle w:val="4"/>
              <w:keepNext w:val="0"/>
              <w:keepLines w:val="0"/>
              <w:pageBreakBefore w:val="0"/>
              <w:widowControl/>
              <w:kinsoku/>
              <w:wordWrap/>
              <w:overflowPunct/>
              <w:topLinePunct w:val="0"/>
              <w:autoSpaceDE/>
              <w:autoSpaceDN/>
              <w:bidi w:val="0"/>
              <w:adjustRightInd/>
              <w:snapToGrid/>
              <w:spacing w:line="560" w:lineRule="exact"/>
              <w:jc w:val="left"/>
              <w:textAlignment w:val="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sz w:val="28"/>
                <w:szCs w:val="28"/>
              </w:rPr>
              <w:t xml:space="preserve">法律费用每次及累计赔偿限额： </w:t>
            </w:r>
            <w:r>
              <w:rPr>
                <w:rFonts w:hint="eastAsia" w:ascii="Times New Roman" w:hAnsi="Times New Roman" w:eastAsia="方正仿宋_GBK" w:cs="Times New Roman"/>
                <w:b/>
                <w:sz w:val="28"/>
                <w:szCs w:val="28"/>
                <w:lang w:val="en-US" w:eastAsia="zh-CN"/>
              </w:rPr>
              <w:t>20</w:t>
            </w:r>
            <w:r>
              <w:rPr>
                <w:rFonts w:hint="eastAsia" w:ascii="方正仿宋_GBK" w:hAnsi="方正仿宋_GBK" w:eastAsia="方正仿宋_GBK" w:cs="方正仿宋_GBK"/>
                <w:b/>
                <w:sz w:val="28"/>
                <w:szCs w:val="28"/>
              </w:rPr>
              <w:t>万元</w:t>
            </w:r>
          </w:p>
          <w:p w14:paraId="2BFC3AE4">
            <w:pPr>
              <w:pStyle w:val="4"/>
              <w:keepNext w:val="0"/>
              <w:keepLines w:val="0"/>
              <w:pageBreakBefore w:val="0"/>
              <w:widowControl/>
              <w:kinsoku/>
              <w:wordWrap/>
              <w:overflowPunct/>
              <w:topLinePunct w:val="0"/>
              <w:autoSpaceDE/>
              <w:autoSpaceDN/>
              <w:bidi w:val="0"/>
              <w:adjustRightInd/>
              <w:snapToGrid/>
              <w:spacing w:line="560" w:lineRule="exact"/>
              <w:jc w:val="left"/>
              <w:textAlignment w:val="auto"/>
              <w:rPr>
                <w:rFonts w:hint="eastAsia" w:ascii="方正仿宋_GBK" w:hAnsi="方正仿宋_GBK" w:eastAsia="方正仿宋_GBK" w:cs="方正仿宋_GBK"/>
                <w:b/>
                <w:sz w:val="28"/>
                <w:szCs w:val="28"/>
                <w:lang w:val="en-US" w:eastAsia="zh-CN"/>
              </w:rPr>
            </w:pPr>
            <w:r>
              <w:rPr>
                <w:rFonts w:hint="eastAsia" w:ascii="方正仿宋_GBK" w:hAnsi="方正仿宋_GBK" w:eastAsia="方正仿宋_GBK" w:cs="方正仿宋_GBK"/>
                <w:b/>
                <w:sz w:val="28"/>
                <w:szCs w:val="28"/>
                <w:lang w:eastAsia="zh-CN"/>
              </w:rPr>
              <w:t>附加停车场</w:t>
            </w:r>
            <w:r>
              <w:rPr>
                <w:rFonts w:hint="eastAsia" w:ascii="Times New Roman" w:hAnsi="Times New Roman" w:eastAsia="方正仿宋_GBK" w:cs="Times New Roman"/>
                <w:b/>
                <w:sz w:val="28"/>
                <w:szCs w:val="28"/>
                <w:lang w:val="en-US" w:eastAsia="zh-CN"/>
              </w:rPr>
              <w:t>1270</w:t>
            </w:r>
            <w:r>
              <w:rPr>
                <w:rFonts w:hint="eastAsia" w:ascii="方正仿宋_GBK" w:hAnsi="方正仿宋_GBK" w:eastAsia="方正仿宋_GBK" w:cs="方正仿宋_GBK"/>
                <w:b/>
                <w:sz w:val="28"/>
                <w:szCs w:val="28"/>
                <w:lang w:val="en-US" w:eastAsia="zh-CN"/>
              </w:rPr>
              <w:t>个</w:t>
            </w:r>
          </w:p>
        </w:tc>
      </w:tr>
      <w:tr w14:paraId="47DC237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2533" w:type="dxa"/>
            <w:tcBorders>
              <w:tl2br w:val="nil"/>
              <w:tr2bl w:val="nil"/>
            </w:tcBorders>
            <w:tcMar>
              <w:top w:w="0" w:type="dxa"/>
              <w:left w:w="105" w:type="dxa"/>
              <w:bottom w:w="0" w:type="dxa"/>
              <w:right w:w="105" w:type="dxa"/>
            </w:tcMar>
            <w:vAlign w:val="top"/>
          </w:tcPr>
          <w:p w14:paraId="50370481">
            <w:pPr>
              <w:pStyle w:val="4"/>
              <w:jc w:val="center"/>
              <w:rPr>
                <w:rFonts w:hint="eastAsia" w:ascii="方正黑体_GBK" w:hAnsi="方正黑体_GBK" w:eastAsia="方正黑体_GBK" w:cs="方正黑体_GBK"/>
                <w:sz w:val="28"/>
                <w:szCs w:val="28"/>
              </w:rPr>
            </w:pPr>
            <w:r>
              <w:rPr>
                <w:rFonts w:hint="eastAsia" w:ascii="方正黑体_GBK" w:hAnsi="方正黑体_GBK" w:eastAsia="方正黑体_GBK" w:cs="方正黑体_GBK"/>
                <w:sz w:val="28"/>
                <w:szCs w:val="28"/>
              </w:rPr>
              <w:t>★</w:t>
            </w:r>
            <w:r>
              <w:rPr>
                <w:rFonts w:hint="eastAsia" w:ascii="方正黑体_GBK" w:hAnsi="方正黑体_GBK" w:eastAsia="方正黑体_GBK" w:cs="方正黑体_GBK"/>
                <w:b/>
                <w:sz w:val="28"/>
                <w:szCs w:val="28"/>
              </w:rPr>
              <w:t>免赔额</w:t>
            </w:r>
          </w:p>
        </w:tc>
        <w:tc>
          <w:tcPr>
            <w:tcW w:w="5983" w:type="dxa"/>
            <w:tcBorders>
              <w:tl2br w:val="nil"/>
              <w:tr2bl w:val="nil"/>
            </w:tcBorders>
            <w:tcMar>
              <w:top w:w="0" w:type="dxa"/>
              <w:left w:w="105" w:type="dxa"/>
              <w:bottom w:w="0" w:type="dxa"/>
              <w:right w:w="105" w:type="dxa"/>
            </w:tcMar>
            <w:vAlign w:val="top"/>
          </w:tcPr>
          <w:p w14:paraId="20B690D1">
            <w:pPr>
              <w:pStyle w:val="4"/>
              <w:keepNext w:val="0"/>
              <w:keepLines w:val="0"/>
              <w:pageBreakBefore w:val="0"/>
              <w:widowControl/>
              <w:numPr>
                <w:ilvl w:val="0"/>
                <w:numId w:val="0"/>
              </w:numPr>
              <w:kinsoku/>
              <w:wordWrap/>
              <w:overflowPunct/>
              <w:topLinePunct w:val="0"/>
              <w:autoSpaceDE/>
              <w:autoSpaceDN/>
              <w:bidi w:val="0"/>
              <w:adjustRightInd/>
              <w:snapToGrid/>
              <w:spacing w:line="560" w:lineRule="exact"/>
              <w:ind w:left="0" w:leftChars="0"/>
              <w:jc w:val="left"/>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val="en-US" w:eastAsia="zh-CN"/>
              </w:rPr>
              <w:t>（一）</w:t>
            </w:r>
            <w:r>
              <w:rPr>
                <w:rFonts w:hint="eastAsia" w:ascii="方正仿宋_GBK" w:hAnsi="方正仿宋_GBK" w:eastAsia="方正仿宋_GBK" w:cs="方正仿宋_GBK"/>
                <w:sz w:val="28"/>
                <w:szCs w:val="28"/>
              </w:rPr>
              <w:t>财产损失：每次事故绝对免赔人民币</w:t>
            </w:r>
            <w:r>
              <w:rPr>
                <w:rFonts w:hint="eastAsia" w:ascii="Times New Roman" w:hAnsi="Times New Roman" w:eastAsia="方正仿宋_GBK" w:cs="Times New Roman"/>
                <w:b/>
                <w:sz w:val="28"/>
                <w:szCs w:val="28"/>
                <w:lang w:val="en-US" w:eastAsia="zh-CN"/>
              </w:rPr>
              <w:t>1000</w:t>
            </w:r>
            <w:r>
              <w:rPr>
                <w:rFonts w:hint="eastAsia" w:ascii="方正仿宋_GBK" w:hAnsi="方正仿宋_GBK" w:eastAsia="方正仿宋_GBK" w:cs="方正仿宋_GBK"/>
                <w:sz w:val="28"/>
                <w:szCs w:val="28"/>
              </w:rPr>
              <w:t>元</w:t>
            </w:r>
            <w:r>
              <w:rPr>
                <w:rFonts w:hint="eastAsia" w:ascii="方正仿宋_GBK" w:hAnsi="方正仿宋_GBK" w:eastAsia="方正仿宋_GBK" w:cs="方正仿宋_GBK"/>
                <w:sz w:val="28"/>
                <w:szCs w:val="28"/>
                <w:lang w:eastAsia="zh-CN"/>
              </w:rPr>
              <w:t>或损失金额的</w:t>
            </w:r>
            <w:r>
              <w:rPr>
                <w:rFonts w:hint="eastAsia" w:ascii="Times New Roman" w:hAnsi="Times New Roman" w:eastAsia="方正仿宋_GBK" w:cs="Times New Roman"/>
                <w:b/>
                <w:sz w:val="28"/>
                <w:szCs w:val="28"/>
                <w:lang w:val="en-US" w:eastAsia="zh-CN"/>
              </w:rPr>
              <w:t>10%</w:t>
            </w:r>
            <w:r>
              <w:rPr>
                <w:rFonts w:hint="eastAsia" w:ascii="方正仿宋_GBK" w:hAnsi="方正仿宋_GBK" w:eastAsia="方正仿宋_GBK" w:cs="方正仿宋_GBK"/>
                <w:sz w:val="28"/>
                <w:szCs w:val="28"/>
                <w:lang w:val="en-US" w:eastAsia="zh-CN"/>
              </w:rPr>
              <w:t>，两者以高者为准。</w:t>
            </w:r>
          </w:p>
          <w:p w14:paraId="48107E0C">
            <w:pPr>
              <w:pStyle w:val="4"/>
              <w:keepNext w:val="0"/>
              <w:keepLines w:val="0"/>
              <w:pageBreakBefore w:val="0"/>
              <w:widowControl/>
              <w:numPr>
                <w:ilvl w:val="0"/>
                <w:numId w:val="0"/>
              </w:numPr>
              <w:kinsoku/>
              <w:wordWrap/>
              <w:overflowPunct/>
              <w:topLinePunct w:val="0"/>
              <w:autoSpaceDE/>
              <w:autoSpaceDN/>
              <w:bidi w:val="0"/>
              <w:adjustRightInd/>
              <w:snapToGrid/>
              <w:spacing w:line="560" w:lineRule="exact"/>
              <w:ind w:left="0" w:leftChars="0"/>
              <w:jc w:val="left"/>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lang w:val="en-US" w:eastAsia="zh-CN"/>
              </w:rPr>
              <w:t>（二）</w:t>
            </w:r>
            <w:r>
              <w:rPr>
                <w:rFonts w:hint="eastAsia" w:ascii="方正仿宋_GBK" w:hAnsi="方正仿宋_GBK" w:eastAsia="方正仿宋_GBK" w:cs="方正仿宋_GBK"/>
                <w:sz w:val="28"/>
                <w:szCs w:val="28"/>
              </w:rPr>
              <w:t>人身伤亡：无免赔。</w:t>
            </w:r>
          </w:p>
        </w:tc>
      </w:tr>
      <w:tr w14:paraId="4A3210F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2533" w:type="dxa"/>
            <w:tcBorders>
              <w:tl2br w:val="nil"/>
              <w:tr2bl w:val="nil"/>
            </w:tcBorders>
            <w:tcMar>
              <w:top w:w="0" w:type="dxa"/>
              <w:left w:w="105" w:type="dxa"/>
              <w:bottom w:w="0" w:type="dxa"/>
              <w:right w:w="105" w:type="dxa"/>
            </w:tcMar>
            <w:vAlign w:val="top"/>
          </w:tcPr>
          <w:p w14:paraId="1B370F41">
            <w:pPr>
              <w:pStyle w:val="4"/>
              <w:jc w:val="center"/>
              <w:rPr>
                <w:rFonts w:hint="eastAsia" w:ascii="方正黑体_GBK" w:hAnsi="方正黑体_GBK" w:eastAsia="方正黑体_GBK" w:cs="方正黑体_GBK"/>
                <w:sz w:val="28"/>
                <w:szCs w:val="28"/>
              </w:rPr>
            </w:pPr>
            <w:r>
              <w:rPr>
                <w:rFonts w:hint="eastAsia" w:ascii="方正黑体_GBK" w:hAnsi="方正黑体_GBK" w:eastAsia="方正黑体_GBK" w:cs="方正黑体_GBK"/>
                <w:b/>
                <w:sz w:val="28"/>
                <w:szCs w:val="28"/>
              </w:rPr>
              <w:t>附加条款</w:t>
            </w:r>
          </w:p>
        </w:tc>
        <w:tc>
          <w:tcPr>
            <w:tcW w:w="5983" w:type="dxa"/>
            <w:tcBorders>
              <w:tl2br w:val="nil"/>
              <w:tr2bl w:val="nil"/>
            </w:tcBorders>
            <w:tcMar>
              <w:top w:w="0" w:type="dxa"/>
              <w:left w:w="105" w:type="dxa"/>
              <w:bottom w:w="0" w:type="dxa"/>
              <w:right w:w="105" w:type="dxa"/>
            </w:tcMar>
            <w:vAlign w:val="top"/>
          </w:tcPr>
          <w:p w14:paraId="28D41D21">
            <w:pPr>
              <w:pStyle w:val="4"/>
              <w:keepNext w:val="0"/>
              <w:keepLines w:val="0"/>
              <w:pageBreakBefore w:val="0"/>
              <w:widowControl/>
              <w:kinsoku/>
              <w:wordWrap/>
              <w:overflowPunct/>
              <w:topLinePunct w:val="0"/>
              <w:autoSpaceDE/>
              <w:autoSpaceDN/>
              <w:bidi w:val="0"/>
              <w:adjustRightInd/>
              <w:snapToGrid/>
              <w:spacing w:line="560" w:lineRule="exact"/>
              <w:jc w:val="left"/>
              <w:textAlignment w:val="auto"/>
              <w:rPr>
                <w:rFonts w:hint="eastAsia" w:ascii="Times New Roman" w:hAnsi="Times New Roman" w:eastAsia="方正仿宋_GBK" w:cs="方正仿宋_GBK"/>
                <w:sz w:val="28"/>
                <w:szCs w:val="28"/>
              </w:rPr>
            </w:pPr>
            <w:r>
              <w:rPr>
                <w:rFonts w:hint="eastAsia" w:ascii="Times New Roman" w:hAnsi="Times New Roman" w:eastAsia="方正仿宋_GBK" w:cs="方正仿宋_GBK"/>
                <w:sz w:val="28"/>
                <w:szCs w:val="28"/>
              </w:rPr>
              <w:t>1</w:t>
            </w:r>
            <w:r>
              <w:rPr>
                <w:rFonts w:hint="eastAsia" w:ascii="Times New Roman" w:hAnsi="Times New Roman" w:eastAsia="方正仿宋_GBK" w:cs="方正仿宋_GBK"/>
                <w:sz w:val="28"/>
                <w:szCs w:val="28"/>
                <w:lang w:eastAsia="zh-CN"/>
              </w:rPr>
              <w:t>.</w:t>
            </w:r>
            <w:r>
              <w:rPr>
                <w:rFonts w:hint="eastAsia" w:ascii="Times New Roman" w:hAnsi="Times New Roman" w:eastAsia="方正仿宋_GBK" w:cs="方正仿宋_GBK"/>
                <w:sz w:val="28"/>
                <w:szCs w:val="28"/>
              </w:rPr>
              <w:t>错误与遗漏条款</w:t>
            </w:r>
          </w:p>
          <w:p w14:paraId="410B9A01">
            <w:pPr>
              <w:pStyle w:val="4"/>
              <w:keepNext w:val="0"/>
              <w:keepLines w:val="0"/>
              <w:pageBreakBefore w:val="0"/>
              <w:widowControl/>
              <w:kinsoku/>
              <w:wordWrap/>
              <w:overflowPunct/>
              <w:topLinePunct w:val="0"/>
              <w:autoSpaceDE/>
              <w:autoSpaceDN/>
              <w:bidi w:val="0"/>
              <w:adjustRightInd/>
              <w:snapToGrid/>
              <w:spacing w:line="560" w:lineRule="exact"/>
              <w:jc w:val="left"/>
              <w:textAlignment w:val="auto"/>
              <w:rPr>
                <w:rFonts w:hint="eastAsia" w:ascii="Times New Roman" w:hAnsi="Times New Roman" w:eastAsia="方正仿宋_GBK" w:cs="方正仿宋_GBK"/>
                <w:sz w:val="28"/>
                <w:szCs w:val="28"/>
              </w:rPr>
            </w:pPr>
            <w:r>
              <w:rPr>
                <w:rFonts w:hint="eastAsia" w:ascii="Times New Roman" w:hAnsi="Times New Roman" w:eastAsia="方正仿宋_GBK" w:cs="方正仿宋_GBK"/>
                <w:sz w:val="28"/>
                <w:szCs w:val="28"/>
              </w:rPr>
              <w:t>2</w:t>
            </w:r>
            <w:r>
              <w:rPr>
                <w:rFonts w:hint="eastAsia" w:ascii="Times New Roman" w:hAnsi="Times New Roman" w:eastAsia="方正仿宋_GBK" w:cs="方正仿宋_GBK"/>
                <w:sz w:val="28"/>
                <w:szCs w:val="28"/>
                <w:lang w:eastAsia="zh-CN"/>
              </w:rPr>
              <w:t>.</w:t>
            </w:r>
            <w:r>
              <w:rPr>
                <w:rFonts w:hint="eastAsia" w:ascii="Times New Roman" w:hAnsi="Times New Roman" w:eastAsia="方正仿宋_GBK" w:cs="方正仿宋_GBK"/>
                <w:sz w:val="28"/>
                <w:szCs w:val="28"/>
              </w:rPr>
              <w:t>不使失效条款</w:t>
            </w:r>
          </w:p>
          <w:p w14:paraId="697651B3">
            <w:pPr>
              <w:pStyle w:val="4"/>
              <w:keepNext w:val="0"/>
              <w:keepLines w:val="0"/>
              <w:pageBreakBefore w:val="0"/>
              <w:widowControl/>
              <w:kinsoku/>
              <w:wordWrap/>
              <w:overflowPunct/>
              <w:topLinePunct w:val="0"/>
              <w:autoSpaceDE/>
              <w:autoSpaceDN/>
              <w:bidi w:val="0"/>
              <w:adjustRightInd/>
              <w:snapToGrid/>
              <w:spacing w:line="560" w:lineRule="exact"/>
              <w:jc w:val="left"/>
              <w:textAlignment w:val="auto"/>
              <w:rPr>
                <w:rFonts w:hint="eastAsia" w:ascii="Times New Roman" w:hAnsi="Times New Roman" w:eastAsia="方正仿宋_GBK" w:cs="方正仿宋_GBK"/>
                <w:sz w:val="28"/>
                <w:szCs w:val="28"/>
              </w:rPr>
            </w:pPr>
            <w:r>
              <w:rPr>
                <w:rFonts w:hint="eastAsia" w:ascii="Times New Roman" w:hAnsi="Times New Roman" w:eastAsia="方正仿宋_GBK" w:cs="方正仿宋_GBK"/>
                <w:sz w:val="28"/>
                <w:szCs w:val="28"/>
              </w:rPr>
              <w:t>3</w:t>
            </w:r>
            <w:r>
              <w:rPr>
                <w:rFonts w:hint="eastAsia" w:ascii="Times New Roman" w:hAnsi="Times New Roman" w:eastAsia="方正仿宋_GBK" w:cs="方正仿宋_GBK"/>
                <w:sz w:val="28"/>
                <w:szCs w:val="28"/>
                <w:lang w:eastAsia="zh-CN"/>
              </w:rPr>
              <w:t>.</w:t>
            </w:r>
            <w:r>
              <w:rPr>
                <w:rFonts w:hint="eastAsia" w:ascii="Times New Roman" w:hAnsi="Times New Roman" w:eastAsia="方正仿宋_GBK" w:cs="方正仿宋_GBK"/>
                <w:sz w:val="28"/>
                <w:szCs w:val="28"/>
              </w:rPr>
              <w:t>违反条件条款</w:t>
            </w:r>
          </w:p>
          <w:p w14:paraId="49D94B77">
            <w:pPr>
              <w:pStyle w:val="4"/>
              <w:keepNext w:val="0"/>
              <w:keepLines w:val="0"/>
              <w:pageBreakBefore w:val="0"/>
              <w:widowControl/>
              <w:kinsoku/>
              <w:wordWrap/>
              <w:overflowPunct/>
              <w:topLinePunct w:val="0"/>
              <w:autoSpaceDE/>
              <w:autoSpaceDN/>
              <w:bidi w:val="0"/>
              <w:adjustRightInd/>
              <w:snapToGrid/>
              <w:spacing w:line="560" w:lineRule="exact"/>
              <w:jc w:val="left"/>
              <w:textAlignment w:val="auto"/>
              <w:rPr>
                <w:rFonts w:hint="eastAsia" w:ascii="Times New Roman" w:hAnsi="Times New Roman" w:eastAsia="方正仿宋_GBK" w:cs="方正仿宋_GBK"/>
                <w:sz w:val="28"/>
                <w:szCs w:val="28"/>
              </w:rPr>
            </w:pPr>
            <w:r>
              <w:rPr>
                <w:rFonts w:hint="eastAsia" w:ascii="Times New Roman" w:hAnsi="Times New Roman" w:eastAsia="方正仿宋_GBK" w:cs="方正仿宋_GBK"/>
                <w:sz w:val="28"/>
                <w:szCs w:val="28"/>
              </w:rPr>
              <w:t>4</w:t>
            </w:r>
            <w:r>
              <w:rPr>
                <w:rFonts w:hint="eastAsia" w:ascii="Times New Roman" w:hAnsi="Times New Roman" w:eastAsia="方正仿宋_GBK" w:cs="方正仿宋_GBK"/>
                <w:sz w:val="28"/>
                <w:szCs w:val="28"/>
                <w:lang w:eastAsia="zh-CN"/>
              </w:rPr>
              <w:t>.</w:t>
            </w:r>
            <w:r>
              <w:rPr>
                <w:rFonts w:hint="eastAsia" w:ascii="Times New Roman" w:hAnsi="Times New Roman" w:eastAsia="方正仿宋_GBK" w:cs="方正仿宋_GBK"/>
                <w:sz w:val="28"/>
                <w:szCs w:val="28"/>
              </w:rPr>
              <w:t>放弃代位追偿权利条款</w:t>
            </w:r>
          </w:p>
          <w:p w14:paraId="6A318AAC">
            <w:pPr>
              <w:pStyle w:val="4"/>
              <w:keepNext w:val="0"/>
              <w:keepLines w:val="0"/>
              <w:pageBreakBefore w:val="0"/>
              <w:widowControl/>
              <w:kinsoku/>
              <w:wordWrap/>
              <w:overflowPunct/>
              <w:topLinePunct w:val="0"/>
              <w:autoSpaceDE/>
              <w:autoSpaceDN/>
              <w:bidi w:val="0"/>
              <w:adjustRightInd/>
              <w:snapToGrid/>
              <w:spacing w:line="560" w:lineRule="exact"/>
              <w:jc w:val="left"/>
              <w:textAlignment w:val="auto"/>
              <w:rPr>
                <w:rFonts w:hint="eastAsia" w:ascii="Times New Roman" w:hAnsi="Times New Roman" w:eastAsia="方正仿宋_GBK" w:cs="方正仿宋_GBK"/>
                <w:sz w:val="28"/>
                <w:szCs w:val="28"/>
              </w:rPr>
            </w:pPr>
            <w:r>
              <w:rPr>
                <w:rFonts w:hint="eastAsia" w:ascii="Times New Roman" w:hAnsi="Times New Roman" w:eastAsia="方正仿宋_GBK" w:cs="方正仿宋_GBK"/>
                <w:sz w:val="28"/>
                <w:szCs w:val="28"/>
              </w:rPr>
              <w:t>5</w:t>
            </w:r>
            <w:r>
              <w:rPr>
                <w:rFonts w:hint="eastAsia" w:ascii="Times New Roman" w:hAnsi="Times New Roman" w:eastAsia="方正仿宋_GBK" w:cs="方正仿宋_GBK"/>
                <w:sz w:val="28"/>
                <w:szCs w:val="28"/>
                <w:lang w:eastAsia="zh-CN"/>
              </w:rPr>
              <w:t>.</w:t>
            </w:r>
            <w:r>
              <w:rPr>
                <w:rFonts w:hint="eastAsia" w:ascii="Times New Roman" w:hAnsi="Times New Roman" w:eastAsia="方正仿宋_GBK" w:cs="方正仿宋_GBK"/>
                <w:sz w:val="28"/>
                <w:szCs w:val="28"/>
              </w:rPr>
              <w:t>交叉责任条款</w:t>
            </w:r>
          </w:p>
          <w:p w14:paraId="3C0692AA">
            <w:pPr>
              <w:pStyle w:val="4"/>
              <w:keepNext w:val="0"/>
              <w:keepLines w:val="0"/>
              <w:pageBreakBefore w:val="0"/>
              <w:widowControl/>
              <w:kinsoku/>
              <w:wordWrap/>
              <w:overflowPunct/>
              <w:topLinePunct w:val="0"/>
              <w:autoSpaceDE/>
              <w:autoSpaceDN/>
              <w:bidi w:val="0"/>
              <w:adjustRightInd/>
              <w:snapToGrid/>
              <w:spacing w:line="560" w:lineRule="exact"/>
              <w:jc w:val="left"/>
              <w:textAlignment w:val="auto"/>
              <w:rPr>
                <w:rFonts w:hint="eastAsia" w:ascii="Times New Roman" w:hAnsi="Times New Roman" w:eastAsia="方正仿宋_GBK" w:cs="方正仿宋_GBK"/>
                <w:sz w:val="28"/>
                <w:szCs w:val="28"/>
              </w:rPr>
            </w:pPr>
            <w:r>
              <w:rPr>
                <w:rFonts w:hint="eastAsia" w:ascii="Times New Roman" w:hAnsi="Times New Roman" w:eastAsia="方正仿宋_GBK" w:cs="方正仿宋_GBK"/>
                <w:sz w:val="28"/>
                <w:szCs w:val="28"/>
              </w:rPr>
              <w:t>6</w:t>
            </w:r>
            <w:r>
              <w:rPr>
                <w:rFonts w:hint="eastAsia" w:ascii="Times New Roman" w:hAnsi="Times New Roman" w:eastAsia="方正仿宋_GBK" w:cs="方正仿宋_GBK"/>
                <w:sz w:val="28"/>
                <w:szCs w:val="28"/>
                <w:lang w:eastAsia="zh-CN"/>
              </w:rPr>
              <w:t>.</w:t>
            </w:r>
            <w:r>
              <w:rPr>
                <w:rFonts w:hint="eastAsia" w:ascii="Times New Roman" w:hAnsi="Times New Roman" w:eastAsia="方正仿宋_GBK" w:cs="方正仿宋_GBK"/>
                <w:sz w:val="28"/>
                <w:szCs w:val="28"/>
              </w:rPr>
              <w:t>火灾、爆炸、烟熏、水损责任条款</w:t>
            </w:r>
          </w:p>
          <w:p w14:paraId="72C47321">
            <w:pPr>
              <w:pStyle w:val="4"/>
              <w:keepNext w:val="0"/>
              <w:keepLines w:val="0"/>
              <w:pageBreakBefore w:val="0"/>
              <w:widowControl/>
              <w:kinsoku/>
              <w:wordWrap/>
              <w:overflowPunct/>
              <w:topLinePunct w:val="0"/>
              <w:autoSpaceDE/>
              <w:autoSpaceDN/>
              <w:bidi w:val="0"/>
              <w:adjustRightInd/>
              <w:snapToGrid/>
              <w:spacing w:line="560" w:lineRule="exact"/>
              <w:jc w:val="left"/>
              <w:textAlignment w:val="auto"/>
              <w:rPr>
                <w:rFonts w:hint="eastAsia" w:ascii="Times New Roman" w:hAnsi="Times New Roman" w:eastAsia="方正仿宋_GBK" w:cs="方正仿宋_GBK"/>
                <w:sz w:val="28"/>
                <w:szCs w:val="28"/>
              </w:rPr>
            </w:pPr>
            <w:r>
              <w:rPr>
                <w:rFonts w:hint="eastAsia" w:ascii="Times New Roman" w:hAnsi="Times New Roman" w:eastAsia="方正仿宋_GBK" w:cs="方正仿宋_GBK"/>
                <w:sz w:val="28"/>
                <w:szCs w:val="28"/>
              </w:rPr>
              <w:t>7</w:t>
            </w:r>
            <w:r>
              <w:rPr>
                <w:rFonts w:hint="eastAsia" w:ascii="Times New Roman" w:hAnsi="Times New Roman" w:eastAsia="方正仿宋_GBK" w:cs="方正仿宋_GBK"/>
                <w:sz w:val="28"/>
                <w:szCs w:val="28"/>
                <w:lang w:eastAsia="zh-CN"/>
              </w:rPr>
              <w:t>.</w:t>
            </w:r>
            <w:r>
              <w:rPr>
                <w:rFonts w:hint="eastAsia" w:ascii="Times New Roman" w:hAnsi="Times New Roman" w:eastAsia="方正仿宋_GBK" w:cs="方正仿宋_GBK"/>
                <w:sz w:val="28"/>
                <w:szCs w:val="28"/>
              </w:rPr>
              <w:t>锅炉爆炸责任条款</w:t>
            </w:r>
          </w:p>
          <w:p w14:paraId="35BD7015">
            <w:pPr>
              <w:pStyle w:val="4"/>
              <w:keepNext w:val="0"/>
              <w:keepLines w:val="0"/>
              <w:pageBreakBefore w:val="0"/>
              <w:widowControl/>
              <w:kinsoku/>
              <w:wordWrap/>
              <w:overflowPunct/>
              <w:topLinePunct w:val="0"/>
              <w:autoSpaceDE/>
              <w:autoSpaceDN/>
              <w:bidi w:val="0"/>
              <w:adjustRightInd/>
              <w:snapToGrid/>
              <w:spacing w:line="560" w:lineRule="exact"/>
              <w:jc w:val="left"/>
              <w:textAlignment w:val="auto"/>
              <w:rPr>
                <w:rFonts w:hint="eastAsia" w:ascii="Times New Roman" w:hAnsi="Times New Roman" w:eastAsia="方正仿宋_GBK" w:cs="方正仿宋_GBK"/>
                <w:sz w:val="28"/>
                <w:szCs w:val="28"/>
              </w:rPr>
            </w:pPr>
            <w:r>
              <w:rPr>
                <w:rFonts w:hint="eastAsia" w:ascii="Times New Roman" w:hAnsi="Times New Roman" w:eastAsia="方正仿宋_GBK" w:cs="方正仿宋_GBK"/>
                <w:sz w:val="28"/>
                <w:szCs w:val="28"/>
              </w:rPr>
              <w:t>8</w:t>
            </w:r>
            <w:r>
              <w:rPr>
                <w:rFonts w:hint="eastAsia" w:ascii="Times New Roman" w:hAnsi="Times New Roman" w:eastAsia="方正仿宋_GBK" w:cs="方正仿宋_GBK"/>
                <w:sz w:val="28"/>
                <w:szCs w:val="28"/>
                <w:lang w:eastAsia="zh-CN"/>
              </w:rPr>
              <w:t>.</w:t>
            </w:r>
            <w:r>
              <w:rPr>
                <w:rFonts w:hint="eastAsia" w:ascii="Times New Roman" w:hAnsi="Times New Roman" w:eastAsia="方正仿宋_GBK" w:cs="方正仿宋_GBK"/>
                <w:sz w:val="28"/>
                <w:szCs w:val="28"/>
              </w:rPr>
              <w:t>电梯、机器及大厦自动装置条款</w:t>
            </w:r>
          </w:p>
          <w:p w14:paraId="7A80A8A7">
            <w:pPr>
              <w:pStyle w:val="4"/>
              <w:keepNext w:val="0"/>
              <w:keepLines w:val="0"/>
              <w:pageBreakBefore w:val="0"/>
              <w:widowControl/>
              <w:kinsoku/>
              <w:wordWrap/>
              <w:overflowPunct/>
              <w:topLinePunct w:val="0"/>
              <w:autoSpaceDE/>
              <w:autoSpaceDN/>
              <w:bidi w:val="0"/>
              <w:adjustRightInd/>
              <w:snapToGrid/>
              <w:spacing w:line="560" w:lineRule="exact"/>
              <w:jc w:val="left"/>
              <w:textAlignment w:val="auto"/>
              <w:rPr>
                <w:rFonts w:hint="eastAsia" w:ascii="Times New Roman" w:hAnsi="Times New Roman" w:eastAsia="方正仿宋_GBK" w:cs="方正仿宋_GBK"/>
                <w:sz w:val="28"/>
                <w:szCs w:val="28"/>
              </w:rPr>
            </w:pPr>
            <w:r>
              <w:rPr>
                <w:rFonts w:hint="eastAsia" w:ascii="Times New Roman" w:hAnsi="Times New Roman" w:eastAsia="方正仿宋_GBK" w:cs="方正仿宋_GBK"/>
                <w:sz w:val="28"/>
                <w:szCs w:val="28"/>
              </w:rPr>
              <w:t>9</w:t>
            </w:r>
            <w:r>
              <w:rPr>
                <w:rFonts w:hint="eastAsia" w:ascii="Times New Roman" w:hAnsi="Times New Roman" w:eastAsia="方正仿宋_GBK" w:cs="方正仿宋_GBK"/>
                <w:sz w:val="28"/>
                <w:szCs w:val="28"/>
                <w:lang w:eastAsia="zh-CN"/>
              </w:rPr>
              <w:t>.</w:t>
            </w:r>
            <w:r>
              <w:rPr>
                <w:rFonts w:hint="eastAsia" w:ascii="Times New Roman" w:hAnsi="Times New Roman" w:eastAsia="方正仿宋_GBK" w:cs="方正仿宋_GBK"/>
                <w:sz w:val="28"/>
                <w:szCs w:val="28"/>
              </w:rPr>
              <w:t>广告及装饰装置责任条款</w:t>
            </w:r>
          </w:p>
          <w:p w14:paraId="3C6517AF">
            <w:pPr>
              <w:pStyle w:val="4"/>
              <w:keepNext w:val="0"/>
              <w:keepLines w:val="0"/>
              <w:pageBreakBefore w:val="0"/>
              <w:widowControl/>
              <w:kinsoku/>
              <w:wordWrap/>
              <w:overflowPunct/>
              <w:topLinePunct w:val="0"/>
              <w:autoSpaceDE/>
              <w:autoSpaceDN/>
              <w:bidi w:val="0"/>
              <w:adjustRightInd/>
              <w:snapToGrid/>
              <w:spacing w:line="560" w:lineRule="exact"/>
              <w:jc w:val="left"/>
              <w:textAlignment w:val="auto"/>
              <w:rPr>
                <w:rFonts w:hint="eastAsia" w:ascii="Times New Roman" w:hAnsi="Times New Roman" w:eastAsia="方正仿宋_GBK" w:cs="方正仿宋_GBK"/>
                <w:sz w:val="28"/>
                <w:szCs w:val="28"/>
              </w:rPr>
            </w:pPr>
            <w:r>
              <w:rPr>
                <w:rFonts w:hint="eastAsia" w:ascii="Times New Roman" w:hAnsi="Times New Roman" w:eastAsia="方正仿宋_GBK" w:cs="方正仿宋_GBK"/>
                <w:sz w:val="28"/>
                <w:szCs w:val="28"/>
              </w:rPr>
              <w:t>10</w:t>
            </w:r>
            <w:r>
              <w:rPr>
                <w:rFonts w:hint="eastAsia" w:ascii="Times New Roman" w:hAnsi="Times New Roman" w:eastAsia="方正仿宋_GBK" w:cs="方正仿宋_GBK"/>
                <w:sz w:val="28"/>
                <w:szCs w:val="28"/>
                <w:lang w:eastAsia="zh-CN"/>
              </w:rPr>
              <w:t>.</w:t>
            </w:r>
            <w:r>
              <w:rPr>
                <w:rFonts w:hint="eastAsia" w:ascii="Times New Roman" w:hAnsi="Times New Roman" w:eastAsia="方正仿宋_GBK" w:cs="方正仿宋_GBK"/>
                <w:sz w:val="28"/>
                <w:szCs w:val="28"/>
              </w:rPr>
              <w:t>食品、饮料责任条款</w:t>
            </w:r>
          </w:p>
          <w:p w14:paraId="2430007C">
            <w:pPr>
              <w:pStyle w:val="4"/>
              <w:keepNext w:val="0"/>
              <w:keepLines w:val="0"/>
              <w:pageBreakBefore w:val="0"/>
              <w:widowControl/>
              <w:kinsoku/>
              <w:wordWrap/>
              <w:overflowPunct/>
              <w:topLinePunct w:val="0"/>
              <w:autoSpaceDE/>
              <w:autoSpaceDN/>
              <w:bidi w:val="0"/>
              <w:adjustRightInd/>
              <w:snapToGrid/>
              <w:spacing w:line="560" w:lineRule="exact"/>
              <w:jc w:val="left"/>
              <w:textAlignment w:val="auto"/>
              <w:rPr>
                <w:rFonts w:hint="eastAsia" w:ascii="Times New Roman" w:hAnsi="Times New Roman" w:eastAsia="方正仿宋_GBK" w:cs="方正仿宋_GBK"/>
                <w:sz w:val="28"/>
                <w:szCs w:val="28"/>
              </w:rPr>
            </w:pPr>
            <w:r>
              <w:rPr>
                <w:rFonts w:hint="eastAsia" w:ascii="Times New Roman" w:hAnsi="Times New Roman" w:eastAsia="方正仿宋_GBK" w:cs="方正仿宋_GBK"/>
                <w:sz w:val="28"/>
                <w:szCs w:val="28"/>
              </w:rPr>
              <w:t>11</w:t>
            </w:r>
            <w:r>
              <w:rPr>
                <w:rFonts w:hint="eastAsia" w:ascii="Times New Roman" w:hAnsi="Times New Roman" w:eastAsia="方正仿宋_GBK" w:cs="方正仿宋_GBK"/>
                <w:sz w:val="28"/>
                <w:szCs w:val="28"/>
                <w:lang w:eastAsia="zh-CN"/>
              </w:rPr>
              <w:t>.</w:t>
            </w:r>
            <w:r>
              <w:rPr>
                <w:rFonts w:hint="eastAsia" w:ascii="Times New Roman" w:hAnsi="Times New Roman" w:eastAsia="方正仿宋_GBK" w:cs="方正仿宋_GBK"/>
                <w:sz w:val="28"/>
                <w:szCs w:val="28"/>
              </w:rPr>
              <w:t>卫生装置条款</w:t>
            </w:r>
          </w:p>
          <w:p w14:paraId="07BF7C1C">
            <w:pPr>
              <w:pStyle w:val="4"/>
              <w:keepNext w:val="0"/>
              <w:keepLines w:val="0"/>
              <w:pageBreakBefore w:val="0"/>
              <w:widowControl/>
              <w:kinsoku/>
              <w:wordWrap/>
              <w:overflowPunct/>
              <w:topLinePunct w:val="0"/>
              <w:autoSpaceDE/>
              <w:autoSpaceDN/>
              <w:bidi w:val="0"/>
              <w:adjustRightInd/>
              <w:snapToGrid/>
              <w:spacing w:line="560" w:lineRule="exact"/>
              <w:jc w:val="left"/>
              <w:textAlignment w:val="auto"/>
              <w:rPr>
                <w:rFonts w:hint="eastAsia" w:ascii="Times New Roman" w:hAnsi="Times New Roman" w:eastAsia="方正仿宋_GBK" w:cs="方正仿宋_GBK"/>
                <w:sz w:val="28"/>
                <w:szCs w:val="28"/>
              </w:rPr>
            </w:pPr>
            <w:r>
              <w:rPr>
                <w:rFonts w:hint="eastAsia" w:ascii="Times New Roman" w:hAnsi="Times New Roman" w:eastAsia="方正仿宋_GBK" w:cs="方正仿宋_GBK"/>
                <w:sz w:val="28"/>
                <w:szCs w:val="28"/>
              </w:rPr>
              <w:t>12</w:t>
            </w:r>
            <w:r>
              <w:rPr>
                <w:rFonts w:hint="eastAsia" w:ascii="Times New Roman" w:hAnsi="Times New Roman" w:eastAsia="方正仿宋_GBK" w:cs="方正仿宋_GBK"/>
                <w:sz w:val="28"/>
                <w:szCs w:val="28"/>
                <w:lang w:eastAsia="zh-CN"/>
              </w:rPr>
              <w:t>.</w:t>
            </w:r>
            <w:r>
              <w:rPr>
                <w:rFonts w:hint="eastAsia" w:ascii="Times New Roman" w:hAnsi="Times New Roman" w:eastAsia="方正仿宋_GBK" w:cs="方正仿宋_GBK"/>
                <w:sz w:val="28"/>
                <w:szCs w:val="28"/>
              </w:rPr>
              <w:t>建筑物改变条款（建工合同金额100万以内）</w:t>
            </w:r>
          </w:p>
          <w:p w14:paraId="078661C0">
            <w:pPr>
              <w:pStyle w:val="4"/>
              <w:keepNext w:val="0"/>
              <w:keepLines w:val="0"/>
              <w:pageBreakBefore w:val="0"/>
              <w:widowControl/>
              <w:kinsoku/>
              <w:wordWrap/>
              <w:overflowPunct/>
              <w:topLinePunct w:val="0"/>
              <w:autoSpaceDE/>
              <w:autoSpaceDN/>
              <w:bidi w:val="0"/>
              <w:adjustRightInd/>
              <w:snapToGrid/>
              <w:spacing w:line="560" w:lineRule="exact"/>
              <w:jc w:val="left"/>
              <w:textAlignment w:val="auto"/>
              <w:rPr>
                <w:rFonts w:hint="eastAsia" w:ascii="Times New Roman" w:hAnsi="Times New Roman" w:eastAsia="方正仿宋_GBK" w:cs="方正仿宋_GBK"/>
                <w:sz w:val="28"/>
                <w:szCs w:val="28"/>
              </w:rPr>
            </w:pPr>
            <w:r>
              <w:rPr>
                <w:rFonts w:hint="eastAsia" w:ascii="Times New Roman" w:hAnsi="Times New Roman" w:eastAsia="方正仿宋_GBK" w:cs="方正仿宋_GBK"/>
                <w:sz w:val="28"/>
                <w:szCs w:val="28"/>
              </w:rPr>
              <w:t>13</w:t>
            </w:r>
            <w:r>
              <w:rPr>
                <w:rFonts w:hint="eastAsia" w:ascii="Times New Roman" w:hAnsi="Times New Roman" w:eastAsia="方正仿宋_GBK" w:cs="方正仿宋_GBK"/>
                <w:sz w:val="28"/>
                <w:szCs w:val="28"/>
                <w:lang w:eastAsia="zh-CN"/>
              </w:rPr>
              <w:t>.</w:t>
            </w:r>
            <w:r>
              <w:rPr>
                <w:rFonts w:hint="eastAsia" w:ascii="Times New Roman" w:hAnsi="Times New Roman" w:eastAsia="方正仿宋_GBK" w:cs="方正仿宋_GBK"/>
                <w:sz w:val="28"/>
                <w:szCs w:val="28"/>
              </w:rPr>
              <w:t>急救费用条款</w:t>
            </w:r>
          </w:p>
          <w:p w14:paraId="46C601A6">
            <w:pPr>
              <w:pStyle w:val="4"/>
              <w:keepNext w:val="0"/>
              <w:keepLines w:val="0"/>
              <w:pageBreakBefore w:val="0"/>
              <w:widowControl/>
              <w:kinsoku/>
              <w:wordWrap/>
              <w:overflowPunct/>
              <w:topLinePunct w:val="0"/>
              <w:autoSpaceDE/>
              <w:autoSpaceDN/>
              <w:bidi w:val="0"/>
              <w:adjustRightInd/>
              <w:snapToGrid/>
              <w:spacing w:line="560" w:lineRule="exact"/>
              <w:jc w:val="left"/>
              <w:textAlignment w:val="auto"/>
              <w:rPr>
                <w:rFonts w:hint="eastAsia" w:ascii="Times New Roman" w:hAnsi="Times New Roman" w:eastAsia="方正仿宋_GBK" w:cs="方正仿宋_GBK"/>
                <w:sz w:val="28"/>
                <w:szCs w:val="28"/>
              </w:rPr>
            </w:pPr>
            <w:r>
              <w:rPr>
                <w:rFonts w:hint="eastAsia" w:ascii="Times New Roman" w:hAnsi="Times New Roman" w:eastAsia="方正仿宋_GBK" w:cs="方正仿宋_GBK"/>
                <w:sz w:val="28"/>
                <w:szCs w:val="28"/>
              </w:rPr>
              <w:t>14</w:t>
            </w:r>
            <w:r>
              <w:rPr>
                <w:rFonts w:hint="eastAsia" w:ascii="Times New Roman" w:hAnsi="Times New Roman" w:eastAsia="方正仿宋_GBK" w:cs="方正仿宋_GBK"/>
                <w:sz w:val="28"/>
                <w:szCs w:val="28"/>
                <w:lang w:eastAsia="zh-CN"/>
              </w:rPr>
              <w:t>.</w:t>
            </w:r>
            <w:r>
              <w:rPr>
                <w:rFonts w:hint="eastAsia" w:ascii="Times New Roman" w:hAnsi="Times New Roman" w:eastAsia="方正仿宋_GBK" w:cs="方正仿宋_GBK"/>
                <w:sz w:val="28"/>
                <w:szCs w:val="28"/>
              </w:rPr>
              <w:t>提供物品及服务条款</w:t>
            </w:r>
          </w:p>
          <w:p w14:paraId="1BFE6356">
            <w:pPr>
              <w:pStyle w:val="4"/>
              <w:keepNext w:val="0"/>
              <w:keepLines w:val="0"/>
              <w:pageBreakBefore w:val="0"/>
              <w:widowControl/>
              <w:kinsoku/>
              <w:wordWrap/>
              <w:overflowPunct/>
              <w:topLinePunct w:val="0"/>
              <w:autoSpaceDE/>
              <w:autoSpaceDN/>
              <w:bidi w:val="0"/>
              <w:adjustRightInd/>
              <w:snapToGrid/>
              <w:spacing w:line="560" w:lineRule="exact"/>
              <w:jc w:val="left"/>
              <w:textAlignment w:val="auto"/>
              <w:rPr>
                <w:rFonts w:hint="eastAsia" w:ascii="Times New Roman" w:hAnsi="Times New Roman" w:eastAsia="方正仿宋_GBK" w:cs="方正仿宋_GBK"/>
                <w:sz w:val="28"/>
                <w:szCs w:val="28"/>
              </w:rPr>
            </w:pPr>
            <w:r>
              <w:rPr>
                <w:rFonts w:hint="eastAsia" w:ascii="Times New Roman" w:hAnsi="Times New Roman" w:eastAsia="方正仿宋_GBK" w:cs="方正仿宋_GBK"/>
                <w:sz w:val="28"/>
                <w:szCs w:val="28"/>
              </w:rPr>
              <w:t>15</w:t>
            </w:r>
            <w:r>
              <w:rPr>
                <w:rFonts w:hint="eastAsia" w:ascii="Times New Roman" w:hAnsi="Times New Roman" w:eastAsia="方正仿宋_GBK" w:cs="方正仿宋_GBK"/>
                <w:sz w:val="28"/>
                <w:szCs w:val="28"/>
                <w:lang w:eastAsia="zh-CN"/>
              </w:rPr>
              <w:t>.</w:t>
            </w:r>
            <w:r>
              <w:rPr>
                <w:rFonts w:hint="eastAsia" w:ascii="Times New Roman" w:hAnsi="Times New Roman" w:eastAsia="方正仿宋_GBK" w:cs="方正仿宋_GBK"/>
                <w:sz w:val="28"/>
                <w:szCs w:val="28"/>
              </w:rPr>
              <w:t>罢工、暴乱、民众骚动及恶意破坏条款</w:t>
            </w:r>
          </w:p>
          <w:p w14:paraId="7ED4CEBA">
            <w:pPr>
              <w:pStyle w:val="4"/>
              <w:keepNext w:val="0"/>
              <w:keepLines w:val="0"/>
              <w:pageBreakBefore w:val="0"/>
              <w:widowControl/>
              <w:kinsoku/>
              <w:wordWrap/>
              <w:overflowPunct/>
              <w:topLinePunct w:val="0"/>
              <w:autoSpaceDE/>
              <w:autoSpaceDN/>
              <w:bidi w:val="0"/>
              <w:adjustRightInd/>
              <w:snapToGrid/>
              <w:spacing w:line="560" w:lineRule="exact"/>
              <w:jc w:val="left"/>
              <w:textAlignment w:val="auto"/>
              <w:rPr>
                <w:rFonts w:hint="eastAsia" w:ascii="Times New Roman" w:hAnsi="Times New Roman" w:eastAsia="方正仿宋_GBK" w:cs="方正仿宋_GBK"/>
                <w:sz w:val="28"/>
                <w:szCs w:val="28"/>
              </w:rPr>
            </w:pPr>
            <w:r>
              <w:rPr>
                <w:rFonts w:hint="eastAsia" w:ascii="Times New Roman" w:hAnsi="Times New Roman" w:eastAsia="方正仿宋_GBK" w:cs="方正仿宋_GBK"/>
                <w:sz w:val="28"/>
                <w:szCs w:val="28"/>
              </w:rPr>
              <w:t>16</w:t>
            </w:r>
            <w:r>
              <w:rPr>
                <w:rFonts w:hint="eastAsia" w:ascii="Times New Roman" w:hAnsi="Times New Roman" w:eastAsia="方正仿宋_GBK" w:cs="方正仿宋_GBK"/>
                <w:sz w:val="28"/>
                <w:szCs w:val="28"/>
                <w:lang w:eastAsia="zh-CN"/>
              </w:rPr>
              <w:t>.</w:t>
            </w:r>
            <w:r>
              <w:rPr>
                <w:rFonts w:hint="eastAsia" w:ascii="Times New Roman" w:hAnsi="Times New Roman" w:eastAsia="方正仿宋_GBK" w:cs="方正仿宋_GBK"/>
                <w:sz w:val="28"/>
                <w:szCs w:val="28"/>
              </w:rPr>
              <w:t>恐怖活动条款</w:t>
            </w:r>
          </w:p>
          <w:p w14:paraId="7A77EB20">
            <w:pPr>
              <w:pStyle w:val="4"/>
              <w:keepNext w:val="0"/>
              <w:keepLines w:val="0"/>
              <w:pageBreakBefore w:val="0"/>
              <w:widowControl/>
              <w:kinsoku/>
              <w:wordWrap/>
              <w:overflowPunct/>
              <w:topLinePunct w:val="0"/>
              <w:autoSpaceDE/>
              <w:autoSpaceDN/>
              <w:bidi w:val="0"/>
              <w:adjustRightInd/>
              <w:snapToGrid/>
              <w:spacing w:line="560" w:lineRule="exact"/>
              <w:jc w:val="left"/>
              <w:textAlignment w:val="auto"/>
              <w:rPr>
                <w:rFonts w:hint="eastAsia" w:ascii="Times New Roman" w:hAnsi="Times New Roman" w:eastAsia="方正仿宋_GBK" w:cs="方正仿宋_GBK"/>
                <w:sz w:val="28"/>
                <w:szCs w:val="28"/>
              </w:rPr>
            </w:pPr>
            <w:r>
              <w:rPr>
                <w:rFonts w:hint="eastAsia" w:ascii="Times New Roman" w:hAnsi="Times New Roman" w:eastAsia="方正仿宋_GBK" w:cs="方正仿宋_GBK"/>
                <w:sz w:val="28"/>
                <w:szCs w:val="28"/>
              </w:rPr>
              <w:t>17</w:t>
            </w:r>
            <w:r>
              <w:rPr>
                <w:rFonts w:hint="eastAsia" w:ascii="Times New Roman" w:hAnsi="Times New Roman" w:eastAsia="方正仿宋_GBK" w:cs="方正仿宋_GBK"/>
                <w:sz w:val="28"/>
                <w:szCs w:val="28"/>
                <w:lang w:eastAsia="zh-CN"/>
              </w:rPr>
              <w:t>.</w:t>
            </w:r>
            <w:r>
              <w:rPr>
                <w:rFonts w:hint="eastAsia" w:ascii="Times New Roman" w:hAnsi="Times New Roman" w:eastAsia="方正仿宋_GBK" w:cs="方正仿宋_GBK"/>
                <w:sz w:val="28"/>
                <w:szCs w:val="28"/>
              </w:rPr>
              <w:t>暴力行为、抢劫责任条款</w:t>
            </w:r>
          </w:p>
          <w:p w14:paraId="2CD611DC">
            <w:pPr>
              <w:rPr>
                <w:rFonts w:hint="eastAsia" w:ascii="方正仿宋_GBK" w:hAnsi="方正仿宋_GBK" w:eastAsia="方正仿宋_GBK" w:cs="方正仿宋_GBK"/>
                <w:sz w:val="28"/>
                <w:szCs w:val="28"/>
              </w:rPr>
            </w:pPr>
            <w:r>
              <w:rPr>
                <w:rFonts w:hint="eastAsia" w:ascii="Times New Roman" w:hAnsi="Times New Roman" w:eastAsia="方正仿宋_GBK" w:cs="方正仿宋_GBK"/>
                <w:sz w:val="28"/>
                <w:szCs w:val="28"/>
              </w:rPr>
              <w:t>18</w:t>
            </w:r>
            <w:r>
              <w:rPr>
                <w:rFonts w:hint="eastAsia" w:ascii="Times New Roman" w:hAnsi="Times New Roman" w:eastAsia="方正仿宋_GBK" w:cs="方正仿宋_GBK"/>
                <w:sz w:val="28"/>
                <w:szCs w:val="28"/>
                <w:lang w:eastAsia="zh-CN"/>
              </w:rPr>
              <w:t>.</w:t>
            </w:r>
            <w:r>
              <w:rPr>
                <w:rFonts w:hint="eastAsia" w:ascii="Times New Roman" w:hAnsi="Times New Roman" w:eastAsia="方正仿宋_GBK" w:cs="方正仿宋_GBK"/>
                <w:sz w:val="28"/>
                <w:szCs w:val="28"/>
              </w:rPr>
              <w:t>人身侵害责任条款</w:t>
            </w:r>
          </w:p>
        </w:tc>
      </w:tr>
      <w:tr w14:paraId="6E3B05B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2533" w:type="dxa"/>
            <w:tcBorders>
              <w:tl2br w:val="nil"/>
              <w:tr2bl w:val="nil"/>
            </w:tcBorders>
            <w:tcMar>
              <w:top w:w="0" w:type="dxa"/>
              <w:left w:w="105" w:type="dxa"/>
              <w:bottom w:w="0" w:type="dxa"/>
              <w:right w:w="105" w:type="dxa"/>
            </w:tcMar>
            <w:vAlign w:val="top"/>
          </w:tcPr>
          <w:p w14:paraId="2CCB0406">
            <w:pPr>
              <w:pStyle w:val="4"/>
              <w:jc w:val="center"/>
              <w:rPr>
                <w:rFonts w:hint="eastAsia" w:ascii="方正黑体_GBK" w:hAnsi="方正黑体_GBK" w:eastAsia="方正黑体_GBK" w:cs="方正黑体_GBK"/>
                <w:sz w:val="28"/>
                <w:szCs w:val="28"/>
                <w:lang w:eastAsia="zh-CN"/>
              </w:rPr>
            </w:pPr>
            <w:r>
              <w:rPr>
                <w:rFonts w:hint="eastAsia" w:ascii="方正黑体_GBK" w:hAnsi="方正黑体_GBK" w:eastAsia="方正黑体_GBK" w:cs="方正黑体_GBK"/>
                <w:sz w:val="28"/>
                <w:szCs w:val="28"/>
                <w:lang w:eastAsia="zh-CN"/>
              </w:rPr>
              <w:t>理赔范围</w:t>
            </w:r>
          </w:p>
          <w:p w14:paraId="4EF2CD6C">
            <w:pPr>
              <w:pStyle w:val="4"/>
              <w:jc w:val="center"/>
              <w:rPr>
                <w:rFonts w:hint="eastAsia" w:ascii="方正黑体_GBK" w:hAnsi="方正黑体_GBK" w:eastAsia="方正黑体_GBK" w:cs="方正黑体_GBK"/>
                <w:sz w:val="28"/>
                <w:szCs w:val="28"/>
                <w:lang w:eastAsia="zh-CN"/>
              </w:rPr>
            </w:pPr>
            <w:bookmarkStart w:id="0" w:name="_GoBack"/>
            <w:bookmarkEnd w:id="0"/>
            <w:r>
              <w:rPr>
                <w:rFonts w:hint="eastAsia" w:ascii="方正黑体_GBK" w:hAnsi="方正黑体_GBK" w:eastAsia="方正黑体_GBK" w:cs="方正黑体_GBK"/>
                <w:sz w:val="28"/>
                <w:szCs w:val="28"/>
                <w:lang w:eastAsia="zh-CN"/>
              </w:rPr>
              <w:t>（包括但不限于）</w:t>
            </w:r>
          </w:p>
        </w:tc>
        <w:tc>
          <w:tcPr>
            <w:tcW w:w="5983" w:type="dxa"/>
            <w:tcBorders>
              <w:tl2br w:val="nil"/>
              <w:tr2bl w:val="nil"/>
            </w:tcBorders>
            <w:tcMar>
              <w:top w:w="0" w:type="dxa"/>
              <w:left w:w="105" w:type="dxa"/>
              <w:bottom w:w="0" w:type="dxa"/>
              <w:right w:w="105" w:type="dxa"/>
            </w:tcMar>
            <w:vAlign w:val="top"/>
          </w:tcPr>
          <w:p w14:paraId="26FDA860">
            <w:pPr>
              <w:pStyle w:val="4"/>
              <w:keepNext w:val="0"/>
              <w:keepLines w:val="0"/>
              <w:pageBreakBefore w:val="0"/>
              <w:widowControl/>
              <w:kinsoku/>
              <w:wordWrap/>
              <w:overflowPunct/>
              <w:topLinePunct w:val="0"/>
              <w:autoSpaceDE/>
              <w:autoSpaceDN/>
              <w:bidi w:val="0"/>
              <w:adjustRightInd/>
              <w:snapToGrid/>
              <w:spacing w:line="560" w:lineRule="exact"/>
              <w:jc w:val="left"/>
              <w:textAlignment w:val="auto"/>
              <w:rPr>
                <w:rFonts w:hint="eastAsia" w:ascii="Times New Roman" w:hAnsi="Times New Roman" w:eastAsia="方正仿宋_GBK" w:cs="方正仿宋_GBK"/>
                <w:sz w:val="28"/>
                <w:szCs w:val="28"/>
              </w:rPr>
            </w:pPr>
            <w:r>
              <w:rPr>
                <w:rFonts w:hint="eastAsia" w:ascii="Times New Roman" w:hAnsi="Times New Roman" w:eastAsia="方正仿宋_GBK" w:cs="方正仿宋_GBK"/>
                <w:sz w:val="28"/>
                <w:szCs w:val="28"/>
                <w:lang w:val="en-US" w:eastAsia="zh-CN"/>
              </w:rPr>
              <w:t>1.</w:t>
            </w:r>
            <w:r>
              <w:rPr>
                <w:rFonts w:hint="eastAsia" w:ascii="Times New Roman" w:hAnsi="Times New Roman" w:eastAsia="方正仿宋_GBK" w:cs="方正仿宋_GBK"/>
                <w:sz w:val="28"/>
                <w:szCs w:val="28"/>
              </w:rPr>
              <w:t>本项目保险单项下的第三者，是指除被保险人的雇员以外的人员，包括但不限于在投保场所求诊、就诊的患者（包括未挂号的患者，下同）及其陪同人员。特别地，被保险人的雇员在非本人工作时间作为患者或陪同人员在投保场所求诊、就诊时，亦属于第三者。</w:t>
            </w:r>
          </w:p>
          <w:p w14:paraId="3AE55912">
            <w:pPr>
              <w:pStyle w:val="4"/>
              <w:keepNext w:val="0"/>
              <w:keepLines w:val="0"/>
              <w:pageBreakBefore w:val="0"/>
              <w:widowControl/>
              <w:kinsoku/>
              <w:wordWrap/>
              <w:overflowPunct/>
              <w:topLinePunct w:val="0"/>
              <w:autoSpaceDE/>
              <w:autoSpaceDN/>
              <w:bidi w:val="0"/>
              <w:adjustRightInd/>
              <w:snapToGrid/>
              <w:spacing w:line="560" w:lineRule="exact"/>
              <w:jc w:val="left"/>
              <w:textAlignment w:val="auto"/>
              <w:rPr>
                <w:rFonts w:hint="eastAsia" w:ascii="Times New Roman" w:hAnsi="Times New Roman" w:eastAsia="方正仿宋_GBK" w:cs="方正仿宋_GBK"/>
                <w:sz w:val="28"/>
                <w:szCs w:val="28"/>
              </w:rPr>
            </w:pPr>
            <w:r>
              <w:rPr>
                <w:rFonts w:hint="eastAsia" w:ascii="Times New Roman" w:hAnsi="Times New Roman" w:eastAsia="方正仿宋_GBK" w:cs="方正仿宋_GBK"/>
                <w:sz w:val="28"/>
                <w:szCs w:val="28"/>
              </w:rPr>
              <w:t>2</w:t>
            </w:r>
            <w:r>
              <w:rPr>
                <w:rFonts w:hint="eastAsia" w:ascii="Times New Roman" w:hAnsi="Times New Roman" w:eastAsia="方正仿宋_GBK" w:cs="方正仿宋_GBK"/>
                <w:sz w:val="28"/>
                <w:szCs w:val="28"/>
                <w:lang w:eastAsia="zh-CN"/>
              </w:rPr>
              <w:t>.</w:t>
            </w:r>
            <w:r>
              <w:rPr>
                <w:rFonts w:hint="eastAsia" w:ascii="Times New Roman" w:hAnsi="Times New Roman" w:eastAsia="方正仿宋_GBK" w:cs="方正仿宋_GBK"/>
                <w:sz w:val="28"/>
                <w:szCs w:val="28"/>
              </w:rPr>
              <w:t>在本项目保险期间内，被保险人因未尽到安全保障义务，发生意外事故造成第三者人身损害或财产损失的，依法应由被保险人承担的经济赔偿责任，属于本项目保险责任范围。意外事故包含但不限于第三者在本项目保险单明细表列明的承保地域范围内发生的自杀、摔倒、跌倒、踩踏等，以及通过被保险人所有或管理的转运工具（包括但不仅限于担架、车床、轮椅等）转运过程中发生的碰撞、撞击、侧翻、跌倒等情形。其中第三者自杀案件需经人民法院判决。</w:t>
            </w:r>
          </w:p>
          <w:p w14:paraId="0A20BAA7">
            <w:pPr>
              <w:pStyle w:val="4"/>
              <w:keepNext w:val="0"/>
              <w:keepLines w:val="0"/>
              <w:pageBreakBefore w:val="0"/>
              <w:widowControl/>
              <w:kinsoku/>
              <w:wordWrap/>
              <w:overflowPunct/>
              <w:topLinePunct w:val="0"/>
              <w:autoSpaceDE/>
              <w:autoSpaceDN/>
              <w:bidi w:val="0"/>
              <w:adjustRightInd/>
              <w:snapToGrid/>
              <w:spacing w:line="560" w:lineRule="exact"/>
              <w:jc w:val="left"/>
              <w:textAlignment w:val="auto"/>
              <w:rPr>
                <w:rFonts w:hint="eastAsia" w:ascii="Times New Roman" w:hAnsi="Times New Roman" w:eastAsia="方正仿宋_GBK" w:cs="方正仿宋_GBK"/>
                <w:sz w:val="28"/>
                <w:szCs w:val="28"/>
              </w:rPr>
            </w:pPr>
            <w:r>
              <w:rPr>
                <w:rFonts w:hint="eastAsia" w:ascii="Times New Roman" w:hAnsi="Times New Roman" w:eastAsia="方正仿宋_GBK" w:cs="方正仿宋_GBK"/>
                <w:sz w:val="28"/>
                <w:szCs w:val="28"/>
              </w:rPr>
              <w:t>3</w:t>
            </w:r>
            <w:r>
              <w:rPr>
                <w:rFonts w:hint="eastAsia" w:ascii="Times New Roman" w:hAnsi="Times New Roman" w:eastAsia="方正仿宋_GBK" w:cs="方正仿宋_GBK"/>
                <w:sz w:val="28"/>
                <w:szCs w:val="28"/>
                <w:lang w:eastAsia="zh-CN"/>
              </w:rPr>
              <w:t>.</w:t>
            </w:r>
            <w:r>
              <w:rPr>
                <w:rFonts w:hint="eastAsia" w:ascii="Times New Roman" w:hAnsi="Times New Roman" w:eastAsia="方正仿宋_GBK" w:cs="方正仿宋_GBK"/>
                <w:sz w:val="28"/>
                <w:szCs w:val="28"/>
              </w:rPr>
              <w:t>若被保险人存在明显的监护、管理过失而未尽到安全保障义务的，广东和谐医患纠纷人民调解委员会根据专家意见进行调解达成调解协议的，保险人同意按照调解协议进行赔偿，如法院另有判决的则依法院判决意见为准。</w:t>
            </w:r>
          </w:p>
          <w:p w14:paraId="0EEF0E4E">
            <w:pPr>
              <w:pStyle w:val="4"/>
              <w:keepNext w:val="0"/>
              <w:keepLines w:val="0"/>
              <w:pageBreakBefore w:val="0"/>
              <w:widowControl/>
              <w:kinsoku/>
              <w:wordWrap/>
              <w:overflowPunct/>
              <w:topLinePunct w:val="0"/>
              <w:autoSpaceDE/>
              <w:autoSpaceDN/>
              <w:bidi w:val="0"/>
              <w:adjustRightInd/>
              <w:snapToGrid/>
              <w:spacing w:line="560" w:lineRule="exact"/>
              <w:jc w:val="left"/>
              <w:textAlignment w:val="auto"/>
              <w:rPr>
                <w:rFonts w:hint="eastAsia" w:ascii="Times New Roman" w:hAnsi="Times New Roman" w:eastAsia="方正仿宋_GBK" w:cs="方正仿宋_GBK"/>
                <w:sz w:val="28"/>
                <w:szCs w:val="28"/>
              </w:rPr>
            </w:pPr>
            <w:r>
              <w:rPr>
                <w:rFonts w:hint="eastAsia" w:ascii="Times New Roman" w:hAnsi="Times New Roman" w:eastAsia="方正仿宋_GBK" w:cs="方正仿宋_GBK"/>
                <w:sz w:val="28"/>
                <w:szCs w:val="28"/>
              </w:rPr>
              <w:t>4</w:t>
            </w:r>
            <w:r>
              <w:rPr>
                <w:rFonts w:hint="eastAsia" w:ascii="Times New Roman" w:hAnsi="Times New Roman" w:eastAsia="方正仿宋_GBK" w:cs="方正仿宋_GBK"/>
                <w:sz w:val="28"/>
                <w:szCs w:val="28"/>
                <w:lang w:eastAsia="zh-CN"/>
              </w:rPr>
              <w:t>.</w:t>
            </w:r>
            <w:r>
              <w:rPr>
                <w:rFonts w:hint="eastAsia" w:ascii="Times New Roman" w:hAnsi="Times New Roman" w:eastAsia="方正仿宋_GBK" w:cs="方正仿宋_GBK"/>
                <w:sz w:val="28"/>
                <w:szCs w:val="28"/>
              </w:rPr>
              <w:t>本项目保险扩展承保被保险人的雇员从事与被保险人经营业务有关的工作时因发生意外事故或由于其个人疏忽、过失而造成第三者的人身伤亡或财产损失引致的法律赔偿责任，但属于医疗责任的除外。</w:t>
            </w:r>
          </w:p>
          <w:p w14:paraId="3BE8C786">
            <w:pPr>
              <w:pStyle w:val="4"/>
              <w:keepNext w:val="0"/>
              <w:keepLines w:val="0"/>
              <w:pageBreakBefore w:val="0"/>
              <w:widowControl/>
              <w:kinsoku/>
              <w:wordWrap/>
              <w:overflowPunct/>
              <w:topLinePunct w:val="0"/>
              <w:autoSpaceDE/>
              <w:autoSpaceDN/>
              <w:bidi w:val="0"/>
              <w:adjustRightInd/>
              <w:snapToGrid/>
              <w:spacing w:line="560" w:lineRule="exact"/>
              <w:jc w:val="left"/>
              <w:textAlignment w:val="auto"/>
              <w:rPr>
                <w:rFonts w:hint="eastAsia" w:ascii="Times New Roman" w:hAnsi="Times New Roman" w:eastAsia="方正仿宋_GBK" w:cs="方正仿宋_GBK"/>
                <w:sz w:val="28"/>
                <w:szCs w:val="28"/>
              </w:rPr>
            </w:pPr>
            <w:r>
              <w:rPr>
                <w:rFonts w:hint="eastAsia" w:ascii="Times New Roman" w:hAnsi="Times New Roman" w:eastAsia="方正仿宋_GBK" w:cs="方正仿宋_GBK"/>
                <w:sz w:val="28"/>
                <w:szCs w:val="28"/>
              </w:rPr>
              <w:t>5</w:t>
            </w:r>
            <w:r>
              <w:rPr>
                <w:rFonts w:hint="eastAsia" w:ascii="Times New Roman" w:hAnsi="Times New Roman" w:eastAsia="方正仿宋_GBK" w:cs="方正仿宋_GBK"/>
                <w:sz w:val="28"/>
                <w:szCs w:val="28"/>
                <w:lang w:eastAsia="zh-CN"/>
              </w:rPr>
              <w:t>.</w:t>
            </w:r>
            <w:r>
              <w:rPr>
                <w:rFonts w:hint="eastAsia" w:ascii="Times New Roman" w:hAnsi="Times New Roman" w:eastAsia="方正仿宋_GBK" w:cs="方正仿宋_GBK"/>
                <w:sz w:val="28"/>
                <w:szCs w:val="28"/>
              </w:rPr>
              <w:t>接受诊疗的精神障碍患者在住院过程中自身的意外、自残，以及接受诊疗的精神障碍患者伤害他人造成的民事损害赔偿责任、患者互相打斗引起第三者和本人的损失，依据法院判决依法应由被保险人承担的经济赔偿责任，保险人负责赔偿；若被保险人存在明显的监护、管理过失而未尽到安全保障义务的，广东和谐医患纠纷人民调解委员会根据专家意见进行调解达成调解协议的，保险人同意在按照调解协议作为理赔依据，在保险单约定的赔偿限额内进行赔偿。</w:t>
            </w:r>
          </w:p>
          <w:p w14:paraId="25FA231C">
            <w:pPr>
              <w:pStyle w:val="4"/>
              <w:keepNext w:val="0"/>
              <w:keepLines w:val="0"/>
              <w:pageBreakBefore w:val="0"/>
              <w:widowControl/>
              <w:kinsoku/>
              <w:wordWrap/>
              <w:overflowPunct/>
              <w:topLinePunct w:val="0"/>
              <w:autoSpaceDE/>
              <w:autoSpaceDN/>
              <w:bidi w:val="0"/>
              <w:adjustRightInd/>
              <w:snapToGrid/>
              <w:spacing w:line="560" w:lineRule="exact"/>
              <w:jc w:val="left"/>
              <w:textAlignment w:val="auto"/>
              <w:rPr>
                <w:rFonts w:hint="eastAsia" w:ascii="Times New Roman" w:hAnsi="Times New Roman" w:eastAsia="方正仿宋_GBK" w:cs="方正仿宋_GBK"/>
                <w:sz w:val="28"/>
                <w:szCs w:val="28"/>
              </w:rPr>
            </w:pPr>
            <w:r>
              <w:rPr>
                <w:rFonts w:hint="eastAsia" w:ascii="Times New Roman" w:hAnsi="Times New Roman" w:eastAsia="方正仿宋_GBK" w:cs="方正仿宋_GBK"/>
                <w:sz w:val="28"/>
                <w:szCs w:val="28"/>
              </w:rPr>
              <w:t>6</w:t>
            </w:r>
            <w:r>
              <w:rPr>
                <w:rFonts w:hint="eastAsia" w:ascii="Times New Roman" w:hAnsi="Times New Roman" w:eastAsia="方正仿宋_GBK" w:cs="方正仿宋_GBK"/>
                <w:sz w:val="28"/>
                <w:szCs w:val="28"/>
                <w:lang w:eastAsia="zh-CN"/>
              </w:rPr>
              <w:t>.</w:t>
            </w:r>
            <w:r>
              <w:rPr>
                <w:rFonts w:hint="eastAsia" w:ascii="Times New Roman" w:hAnsi="Times New Roman" w:eastAsia="方正仿宋_GBK" w:cs="方正仿宋_GBK"/>
                <w:sz w:val="28"/>
                <w:szCs w:val="28"/>
              </w:rPr>
              <w:t>本项目保险事故造成第三者人身损害依法承担经济赔偿责任参照《中华人民共和国民法典》、《最高人民法院关于审理人身损害赔偿案件适用法律若干问题的解释》规定计算，具体赔偿项目包括：</w:t>
            </w:r>
          </w:p>
          <w:p w14:paraId="515B5853">
            <w:pPr>
              <w:pStyle w:val="4"/>
              <w:keepNext w:val="0"/>
              <w:keepLines w:val="0"/>
              <w:pageBreakBefore w:val="0"/>
              <w:widowControl/>
              <w:kinsoku/>
              <w:wordWrap/>
              <w:overflowPunct/>
              <w:topLinePunct w:val="0"/>
              <w:autoSpaceDE/>
              <w:autoSpaceDN/>
              <w:bidi w:val="0"/>
              <w:adjustRightInd/>
              <w:snapToGrid/>
              <w:spacing w:line="560" w:lineRule="exact"/>
              <w:jc w:val="left"/>
              <w:textAlignment w:val="auto"/>
              <w:rPr>
                <w:rFonts w:hint="eastAsia" w:ascii="Times New Roman" w:hAnsi="Times New Roman" w:eastAsia="方正仿宋_GBK" w:cs="方正仿宋_GBK"/>
                <w:sz w:val="28"/>
                <w:szCs w:val="28"/>
              </w:rPr>
            </w:pPr>
            <w:r>
              <w:rPr>
                <w:rFonts w:hint="eastAsia" w:ascii="Times New Roman" w:hAnsi="Times New Roman" w:eastAsia="方正仿宋_GBK" w:cs="方正仿宋_GBK"/>
                <w:sz w:val="28"/>
                <w:szCs w:val="28"/>
              </w:rPr>
              <w:t>（一）第三者因就医治疗支出的各项费用以及因误工减少的收入，包括医疗费、误工费、护理费、交通费、住宿费、住院伙食补助费、必要的营养费；</w:t>
            </w:r>
          </w:p>
          <w:p w14:paraId="4E9B01EF">
            <w:pPr>
              <w:pStyle w:val="4"/>
              <w:keepNext w:val="0"/>
              <w:keepLines w:val="0"/>
              <w:pageBreakBefore w:val="0"/>
              <w:widowControl/>
              <w:kinsoku/>
              <w:wordWrap/>
              <w:overflowPunct/>
              <w:topLinePunct w:val="0"/>
              <w:autoSpaceDE/>
              <w:autoSpaceDN/>
              <w:bidi w:val="0"/>
              <w:adjustRightInd/>
              <w:snapToGrid/>
              <w:spacing w:line="560" w:lineRule="exact"/>
              <w:jc w:val="left"/>
              <w:textAlignment w:val="auto"/>
              <w:rPr>
                <w:rFonts w:hint="eastAsia" w:ascii="Times New Roman" w:hAnsi="Times New Roman" w:eastAsia="方正仿宋_GBK" w:cs="方正仿宋_GBK"/>
                <w:sz w:val="28"/>
                <w:szCs w:val="28"/>
              </w:rPr>
            </w:pPr>
            <w:r>
              <w:rPr>
                <w:rFonts w:hint="eastAsia" w:ascii="Times New Roman" w:hAnsi="Times New Roman" w:eastAsia="方正仿宋_GBK" w:cs="方正仿宋_GBK"/>
                <w:sz w:val="28"/>
                <w:szCs w:val="28"/>
              </w:rPr>
              <w:t>（二）第三者因伤致残的，其因增加生活上需要所支出的必要费用以及因丧失劳动能力导致的收入损失，包括残疾赔偿金、残疾辅助器具费、被扶养人生活费，以及因康复护理、继续治疗实际发生的必要的康复费、护理费、后续治疗费；</w:t>
            </w:r>
          </w:p>
          <w:p w14:paraId="796EC23D">
            <w:pPr>
              <w:pStyle w:val="4"/>
              <w:keepNext w:val="0"/>
              <w:keepLines w:val="0"/>
              <w:pageBreakBefore w:val="0"/>
              <w:widowControl/>
              <w:kinsoku/>
              <w:wordWrap/>
              <w:overflowPunct/>
              <w:topLinePunct w:val="0"/>
              <w:autoSpaceDE/>
              <w:autoSpaceDN/>
              <w:bidi w:val="0"/>
              <w:adjustRightInd/>
              <w:snapToGrid/>
              <w:spacing w:line="560" w:lineRule="exact"/>
              <w:jc w:val="left"/>
              <w:textAlignment w:val="auto"/>
              <w:rPr>
                <w:rFonts w:hint="eastAsia" w:ascii="Times New Roman" w:hAnsi="Times New Roman" w:eastAsia="方正仿宋_GBK" w:cs="方正仿宋_GBK"/>
                <w:sz w:val="28"/>
                <w:szCs w:val="28"/>
              </w:rPr>
            </w:pPr>
            <w:r>
              <w:rPr>
                <w:rFonts w:hint="eastAsia" w:ascii="Times New Roman" w:hAnsi="Times New Roman" w:eastAsia="方正仿宋_GBK" w:cs="方正仿宋_GBK"/>
                <w:sz w:val="28"/>
                <w:szCs w:val="28"/>
              </w:rPr>
              <w:t>（三）第三者死亡的，除应当根据抢救治疗情况赔偿本条第（一）项规定的相关费用外，还应当赔偿丧葬费、被扶养人生活费、死亡赔偿金以及受害人亲属办理丧葬事宜支出的交通费、住宿费和误工损失等其他合理费用；</w:t>
            </w:r>
          </w:p>
          <w:p w14:paraId="0AF6D32A">
            <w:pPr>
              <w:pStyle w:val="4"/>
              <w:keepNext w:val="0"/>
              <w:keepLines w:val="0"/>
              <w:pageBreakBefore w:val="0"/>
              <w:widowControl/>
              <w:kinsoku/>
              <w:wordWrap/>
              <w:overflowPunct/>
              <w:topLinePunct w:val="0"/>
              <w:autoSpaceDE/>
              <w:autoSpaceDN/>
              <w:bidi w:val="0"/>
              <w:adjustRightInd/>
              <w:snapToGrid/>
              <w:spacing w:line="560" w:lineRule="exact"/>
              <w:jc w:val="left"/>
              <w:textAlignment w:val="auto"/>
              <w:rPr>
                <w:rFonts w:hint="eastAsia" w:ascii="Times New Roman" w:hAnsi="Times New Roman" w:eastAsia="方正仿宋_GBK" w:cs="方正仿宋_GBK"/>
                <w:sz w:val="28"/>
                <w:szCs w:val="28"/>
              </w:rPr>
            </w:pPr>
            <w:r>
              <w:rPr>
                <w:rFonts w:hint="eastAsia" w:ascii="Times New Roman" w:hAnsi="Times New Roman" w:eastAsia="方正仿宋_GBK" w:cs="方正仿宋_GBK"/>
                <w:sz w:val="28"/>
                <w:szCs w:val="28"/>
              </w:rPr>
              <w:t>（四）第三者或者其近亲属遭受精神损害，经仲裁机构或法院判决、或经调解委员会酌情评鉴所需支付的精神损害抚慰金。</w:t>
            </w:r>
          </w:p>
          <w:p w14:paraId="3FA40C64">
            <w:pPr>
              <w:pStyle w:val="4"/>
              <w:keepNext w:val="0"/>
              <w:keepLines w:val="0"/>
              <w:pageBreakBefore w:val="0"/>
              <w:widowControl/>
              <w:kinsoku/>
              <w:wordWrap/>
              <w:overflowPunct/>
              <w:topLinePunct w:val="0"/>
              <w:autoSpaceDE/>
              <w:autoSpaceDN/>
              <w:bidi w:val="0"/>
              <w:adjustRightInd/>
              <w:snapToGrid/>
              <w:spacing w:line="560" w:lineRule="exact"/>
              <w:jc w:val="left"/>
              <w:textAlignment w:val="auto"/>
              <w:rPr>
                <w:rFonts w:hint="eastAsia" w:ascii="Times New Roman" w:hAnsi="Times New Roman" w:eastAsia="方正仿宋_GBK" w:cs="方正仿宋_GBK"/>
                <w:sz w:val="28"/>
                <w:szCs w:val="28"/>
              </w:rPr>
            </w:pPr>
            <w:r>
              <w:rPr>
                <w:rFonts w:hint="eastAsia" w:ascii="Times New Roman" w:hAnsi="Times New Roman" w:eastAsia="方正仿宋_GBK" w:cs="方正仿宋_GBK"/>
                <w:sz w:val="28"/>
                <w:szCs w:val="28"/>
              </w:rPr>
              <w:t>7</w:t>
            </w:r>
            <w:r>
              <w:rPr>
                <w:rFonts w:hint="eastAsia" w:ascii="Times New Roman" w:hAnsi="Times New Roman" w:eastAsia="方正仿宋_GBK" w:cs="方正仿宋_GBK"/>
                <w:sz w:val="28"/>
                <w:szCs w:val="28"/>
                <w:lang w:eastAsia="zh-CN"/>
              </w:rPr>
              <w:t>.</w:t>
            </w:r>
            <w:r>
              <w:rPr>
                <w:rFonts w:hint="eastAsia" w:ascii="Times New Roman" w:hAnsi="Times New Roman" w:eastAsia="方正仿宋_GBK" w:cs="方正仿宋_GBK"/>
                <w:sz w:val="28"/>
                <w:szCs w:val="28"/>
              </w:rPr>
              <w:t>在保险期间内，被保险人在保险单载明的区域范围内因经营业务发生意外事故，造成第三者的人身伤亡，受害人或其近亲属提出精神损害赔偿的，依照中华人民共和国（不包括港澳台地区）法院判决或者调解机构调解应由被保险人承担的精神损害赔偿责任，保险人按照本项目保险合同约定负责赔偿。</w:t>
            </w:r>
          </w:p>
          <w:p w14:paraId="042C7DA1">
            <w:pPr>
              <w:pStyle w:val="4"/>
              <w:keepNext w:val="0"/>
              <w:keepLines w:val="0"/>
              <w:pageBreakBefore w:val="0"/>
              <w:widowControl/>
              <w:kinsoku/>
              <w:wordWrap/>
              <w:overflowPunct/>
              <w:topLinePunct w:val="0"/>
              <w:autoSpaceDE/>
              <w:autoSpaceDN/>
              <w:bidi w:val="0"/>
              <w:adjustRightInd/>
              <w:snapToGrid/>
              <w:spacing w:line="560" w:lineRule="exact"/>
              <w:jc w:val="left"/>
              <w:textAlignment w:val="auto"/>
              <w:rPr>
                <w:rFonts w:hint="eastAsia" w:ascii="Times New Roman" w:hAnsi="Times New Roman" w:eastAsia="方正仿宋_GBK" w:cs="方正仿宋_GBK"/>
                <w:sz w:val="28"/>
                <w:szCs w:val="28"/>
              </w:rPr>
            </w:pPr>
            <w:r>
              <w:rPr>
                <w:rFonts w:hint="eastAsia" w:ascii="Times New Roman" w:hAnsi="Times New Roman" w:eastAsia="方正仿宋_GBK" w:cs="方正仿宋_GBK"/>
                <w:sz w:val="28"/>
                <w:szCs w:val="28"/>
              </w:rPr>
              <w:t>8</w:t>
            </w:r>
            <w:r>
              <w:rPr>
                <w:rFonts w:hint="eastAsia" w:ascii="Times New Roman" w:hAnsi="Times New Roman" w:eastAsia="方正仿宋_GBK" w:cs="方正仿宋_GBK"/>
                <w:sz w:val="28"/>
                <w:szCs w:val="28"/>
                <w:lang w:eastAsia="zh-CN"/>
              </w:rPr>
              <w:t>.</w:t>
            </w:r>
            <w:r>
              <w:rPr>
                <w:rFonts w:hint="eastAsia" w:ascii="Times New Roman" w:hAnsi="Times New Roman" w:eastAsia="方正仿宋_GBK" w:cs="方正仿宋_GBK"/>
                <w:sz w:val="28"/>
                <w:szCs w:val="28"/>
              </w:rPr>
              <w:t>发生可能引起本项目保险合同项下赔偿的情形时，被保险人因而被提起仲裁或者诉讼的，对应由被保险人支付的仲裁或诉讼费用（包括可能产生的案件受理费、勘验费、鉴定费、律师费、解剖费等）以及其他必要的、合理的费用（以下简称“法律费用”），保险人按照本项目保险合同约定也负责赔偿。</w:t>
            </w:r>
          </w:p>
          <w:p w14:paraId="0751F649">
            <w:pPr>
              <w:pStyle w:val="4"/>
              <w:keepNext w:val="0"/>
              <w:keepLines w:val="0"/>
              <w:pageBreakBefore w:val="0"/>
              <w:widowControl/>
              <w:kinsoku/>
              <w:wordWrap/>
              <w:overflowPunct/>
              <w:topLinePunct w:val="0"/>
              <w:autoSpaceDE/>
              <w:autoSpaceDN/>
              <w:bidi w:val="0"/>
              <w:adjustRightInd/>
              <w:snapToGrid/>
              <w:spacing w:line="560" w:lineRule="exact"/>
              <w:jc w:val="left"/>
              <w:textAlignment w:val="auto"/>
              <w:rPr>
                <w:rFonts w:hint="eastAsia" w:ascii="Times New Roman" w:hAnsi="Times New Roman" w:eastAsia="方正仿宋_GBK" w:cs="方正仿宋_GBK"/>
                <w:sz w:val="28"/>
                <w:szCs w:val="28"/>
              </w:rPr>
            </w:pPr>
            <w:r>
              <w:rPr>
                <w:rFonts w:hint="eastAsia" w:ascii="Times New Roman" w:hAnsi="Times New Roman" w:eastAsia="方正仿宋_GBK" w:cs="方正仿宋_GBK"/>
                <w:sz w:val="28"/>
                <w:szCs w:val="28"/>
              </w:rPr>
              <w:t>9</w:t>
            </w:r>
            <w:r>
              <w:rPr>
                <w:rFonts w:hint="eastAsia" w:ascii="Times New Roman" w:hAnsi="Times New Roman" w:eastAsia="方正仿宋_GBK" w:cs="方正仿宋_GBK"/>
                <w:sz w:val="28"/>
                <w:szCs w:val="28"/>
                <w:lang w:eastAsia="zh-CN"/>
              </w:rPr>
              <w:t>.</w:t>
            </w:r>
            <w:r>
              <w:rPr>
                <w:rFonts w:hint="eastAsia" w:ascii="Times New Roman" w:hAnsi="Times New Roman" w:eastAsia="方正仿宋_GBK" w:cs="方正仿宋_GBK"/>
                <w:sz w:val="28"/>
                <w:szCs w:val="28"/>
              </w:rPr>
              <w:t>被保险人向保险人请求赔偿金的诉讼时效自被保险人对第三者应负的赔偿责任确定之日起计算。</w:t>
            </w:r>
          </w:p>
          <w:p w14:paraId="36A3877A">
            <w:pPr>
              <w:pStyle w:val="4"/>
              <w:keepNext w:val="0"/>
              <w:keepLines w:val="0"/>
              <w:pageBreakBefore w:val="0"/>
              <w:widowControl/>
              <w:kinsoku/>
              <w:wordWrap/>
              <w:overflowPunct/>
              <w:topLinePunct w:val="0"/>
              <w:autoSpaceDE/>
              <w:autoSpaceDN/>
              <w:bidi w:val="0"/>
              <w:adjustRightInd/>
              <w:snapToGrid/>
              <w:spacing w:line="560" w:lineRule="exact"/>
              <w:jc w:val="left"/>
              <w:textAlignment w:val="auto"/>
              <w:rPr>
                <w:rFonts w:hint="eastAsia" w:ascii="Times New Roman" w:hAnsi="Times New Roman" w:eastAsia="方正仿宋_GBK" w:cs="方正仿宋_GBK"/>
                <w:sz w:val="28"/>
                <w:szCs w:val="28"/>
              </w:rPr>
            </w:pPr>
            <w:r>
              <w:rPr>
                <w:rFonts w:hint="eastAsia" w:ascii="Times New Roman" w:hAnsi="Times New Roman" w:eastAsia="方正仿宋_GBK" w:cs="方正仿宋_GBK"/>
                <w:sz w:val="28"/>
                <w:szCs w:val="28"/>
              </w:rPr>
              <w:t>10</w:t>
            </w:r>
            <w:r>
              <w:rPr>
                <w:rFonts w:hint="eastAsia" w:ascii="Times New Roman" w:hAnsi="Times New Roman" w:eastAsia="方正仿宋_GBK" w:cs="方正仿宋_GBK"/>
                <w:sz w:val="28"/>
                <w:szCs w:val="28"/>
                <w:lang w:eastAsia="zh-CN"/>
              </w:rPr>
              <w:t>.</w:t>
            </w:r>
            <w:r>
              <w:rPr>
                <w:rFonts w:hint="eastAsia" w:ascii="Times New Roman" w:hAnsi="Times New Roman" w:eastAsia="方正仿宋_GBK" w:cs="方正仿宋_GBK"/>
                <w:sz w:val="28"/>
                <w:szCs w:val="28"/>
              </w:rPr>
              <w:t>本项目保险扩展承保被保险人因在本项目保险单明细表中列明的经营场所内或其他列明场所布置的广告、霓虹灯、装饰物发生意外事故造成第三者人身伤亡或财产损失时依法应承担的经济赔偿责任。被保险人应保证指派合格人员对上述装置定期进行检查和维护。</w:t>
            </w:r>
          </w:p>
          <w:p w14:paraId="383C8351">
            <w:pPr>
              <w:rPr>
                <w:rFonts w:ascii="Times New Roman" w:hAnsi="Times New Roman" w:eastAsia="方正仿宋_GBK"/>
                <w:sz w:val="28"/>
              </w:rPr>
            </w:pPr>
            <w:r>
              <w:rPr>
                <w:rFonts w:hint="eastAsia" w:ascii="Times New Roman" w:hAnsi="Times New Roman" w:eastAsia="方正仿宋_GBK" w:cs="方正仿宋_GBK"/>
                <w:sz w:val="28"/>
                <w:szCs w:val="28"/>
              </w:rPr>
              <w:t>11</w:t>
            </w:r>
            <w:r>
              <w:rPr>
                <w:rFonts w:hint="eastAsia" w:ascii="Times New Roman" w:hAnsi="Times New Roman" w:eastAsia="方正仿宋_GBK" w:cs="方正仿宋_GBK"/>
                <w:sz w:val="28"/>
                <w:szCs w:val="28"/>
                <w:lang w:eastAsia="zh-CN"/>
              </w:rPr>
              <w:t>.</w:t>
            </w:r>
            <w:r>
              <w:rPr>
                <w:rFonts w:hint="eastAsia" w:ascii="Times New Roman" w:hAnsi="Times New Roman" w:eastAsia="方正仿宋_GBK" w:cs="方正仿宋_GBK"/>
                <w:sz w:val="28"/>
                <w:szCs w:val="28"/>
              </w:rPr>
              <w:t>本项目保险扩展承保被保险人因改变、维修或装修建筑造成第三者人身伤亡或财产损失时应负的赔偿责任。被保险人应采取一切措施以防止在维修或装修过程中发生意外。</w:t>
            </w:r>
          </w:p>
          <w:p w14:paraId="029E7E24">
            <w:pPr>
              <w:pStyle w:val="4"/>
              <w:keepNext w:val="0"/>
              <w:keepLines w:val="0"/>
              <w:pageBreakBefore w:val="0"/>
              <w:widowControl/>
              <w:kinsoku/>
              <w:wordWrap/>
              <w:overflowPunct/>
              <w:topLinePunct w:val="0"/>
              <w:autoSpaceDE/>
              <w:autoSpaceDN/>
              <w:bidi w:val="0"/>
              <w:adjustRightInd/>
              <w:snapToGrid/>
              <w:spacing w:line="560" w:lineRule="exact"/>
              <w:jc w:val="left"/>
              <w:textAlignment w:val="auto"/>
              <w:rPr>
                <w:rFonts w:hint="eastAsia" w:ascii="方正仿宋_GBK" w:hAnsi="方正仿宋_GBK" w:eastAsia="方正仿宋_GBK" w:cs="方正仿宋_GBK"/>
                <w:sz w:val="28"/>
                <w:szCs w:val="28"/>
              </w:rPr>
            </w:pPr>
          </w:p>
        </w:tc>
      </w:tr>
      <w:tr w14:paraId="392FD24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2533" w:type="dxa"/>
            <w:tcBorders>
              <w:tl2br w:val="nil"/>
              <w:tr2bl w:val="nil"/>
            </w:tcBorders>
            <w:tcMar>
              <w:top w:w="0" w:type="dxa"/>
              <w:left w:w="105" w:type="dxa"/>
              <w:bottom w:w="0" w:type="dxa"/>
              <w:right w:w="105" w:type="dxa"/>
            </w:tcMar>
            <w:vAlign w:val="top"/>
          </w:tcPr>
          <w:p w14:paraId="4FD94020">
            <w:pPr>
              <w:pStyle w:val="4"/>
              <w:jc w:val="center"/>
              <w:rPr>
                <w:rFonts w:hint="eastAsia" w:ascii="方正黑体_GBK" w:hAnsi="方正黑体_GBK" w:eastAsia="方正黑体_GBK" w:cs="方正黑体_GBK"/>
                <w:sz w:val="28"/>
                <w:szCs w:val="28"/>
              </w:rPr>
            </w:pPr>
            <w:r>
              <w:rPr>
                <w:rFonts w:hint="eastAsia" w:ascii="方正黑体_GBK" w:hAnsi="方正黑体_GBK" w:eastAsia="方正黑体_GBK" w:cs="方正黑体_GBK"/>
                <w:b/>
                <w:sz w:val="28"/>
                <w:szCs w:val="28"/>
              </w:rPr>
              <w:t>司法管辖</w:t>
            </w:r>
          </w:p>
        </w:tc>
        <w:tc>
          <w:tcPr>
            <w:tcW w:w="5983" w:type="dxa"/>
            <w:tcBorders>
              <w:tl2br w:val="nil"/>
              <w:tr2bl w:val="nil"/>
            </w:tcBorders>
            <w:tcMar>
              <w:top w:w="0" w:type="dxa"/>
              <w:left w:w="105" w:type="dxa"/>
              <w:bottom w:w="0" w:type="dxa"/>
              <w:right w:w="105" w:type="dxa"/>
            </w:tcMar>
            <w:vAlign w:val="top"/>
          </w:tcPr>
          <w:p w14:paraId="0A95AB67">
            <w:pPr>
              <w:rPr>
                <w:rFonts w:hint="eastAsia" w:ascii="方正仿宋_GBK" w:hAnsi="方正仿宋_GBK" w:eastAsia="方正仿宋_GBK" w:cs="方正仿宋_GBK"/>
                <w:sz w:val="28"/>
                <w:szCs w:val="28"/>
              </w:rPr>
            </w:pPr>
            <w:r>
              <w:rPr>
                <w:rFonts w:hint="eastAsia" w:ascii="Times New Roman" w:hAnsi="Times New Roman" w:eastAsia="方正仿宋_GBK" w:cs="方正仿宋_GBK"/>
                <w:kern w:val="2"/>
                <w:sz w:val="28"/>
                <w:szCs w:val="28"/>
                <w:lang w:val="en-US" w:eastAsia="zh-CN" w:bidi="ar-SA"/>
              </w:rPr>
              <w:t>中华人民共和国境内（不包括香港、澳门、台湾地区）</w:t>
            </w:r>
          </w:p>
        </w:tc>
      </w:tr>
    </w:tbl>
    <w:p w14:paraId="07C62301"/>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panose1 w:val="03000509000000000000"/>
    <w:charset w:val="86"/>
    <w:family w:val="auto"/>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3A62A76"/>
    <w:rsid w:val="070C57BF"/>
    <w:rsid w:val="178E4D39"/>
    <w:rsid w:val="1FC8541B"/>
    <w:rsid w:val="23521703"/>
    <w:rsid w:val="25CC7AF7"/>
    <w:rsid w:val="43A62A76"/>
    <w:rsid w:val="508501C3"/>
    <w:rsid w:val="575C0DB4"/>
    <w:rsid w:val="607420A0"/>
    <w:rsid w:val="6F2409B8"/>
    <w:rsid w:val="790339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2213</Words>
  <Characters>2269</Characters>
  <Lines>0</Lines>
  <Paragraphs>0</Paragraphs>
  <TotalTime>96</TotalTime>
  <ScaleCrop>false</ScaleCrop>
  <LinksUpToDate>false</LinksUpToDate>
  <CharactersWithSpaces>2273</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2025-03-10T03:34:00Z</dcterms:created>
  <dc:creator>茶培健</dc:creator>
  <cp:lastModifiedBy>茶培健</cp:lastModifiedBy>
  <cp:lastPrinted>2025-05-12T02:28:07Z</cp:lastPrinted>
  <dcterms:modified xsi:type="dcterms:W3CDTF">2025-05-12T02:30:24Z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E8D52A9464054A84B9A37EA46CA0863B_11</vt:lpwstr>
  </property>
  <property fmtid="{D5CDD505-2E9C-101B-9397-08002B2CF9AE}" pid="4" name="KSOTemplateDocerSaveRecord">
    <vt:lpwstr>eyJoZGlkIjoiZDNiMWMyMDhmOGY3MjNiNjRlYTliMTEyZmQ1YjM3YWEiLCJ1c2VySWQiOiIzMDE5ODA1OTUifQ==</vt:lpwstr>
  </property>
</Properties>
</file>