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E806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default" w:ascii="Times New Roman" w:hAnsi="Times New Roman" w:eastAsia="仿宋" w:cs="Times New Roman"/>
          <w:color w:val="auto"/>
          <w:kern w:val="2"/>
          <w:sz w:val="32"/>
          <w:szCs w:val="32"/>
          <w:lang w:val="en-US" w:eastAsia="zh-CN" w:bidi="ar-SA"/>
        </w:rPr>
      </w:pPr>
      <w:r>
        <w:rPr>
          <w:rFonts w:hint="default" w:ascii="Times New Roman" w:hAnsi="Times New Roman" w:eastAsia="仿宋" w:cs="Times New Roman"/>
          <w:color w:val="auto"/>
          <w:kern w:val="2"/>
          <w:sz w:val="32"/>
          <w:szCs w:val="32"/>
          <w:lang w:val="en-US" w:eastAsia="zh-CN" w:bidi="ar-SA"/>
        </w:rPr>
        <w:t>附件2：</w:t>
      </w:r>
    </w:p>
    <w:p w14:paraId="7DBAD23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firstLineChars="0"/>
        <w:jc w:val="center"/>
        <w:textAlignment w:val="auto"/>
        <w:rPr>
          <w:rFonts w:hint="eastAsia" w:ascii="方正小标宋_GBK" w:hAnsi="方正小标宋_GBK" w:eastAsia="方正小标宋_GBK" w:cs="方正小标宋_GBK"/>
          <w:color w:val="auto"/>
          <w:kern w:val="2"/>
          <w:sz w:val="36"/>
          <w:szCs w:val="36"/>
          <w:lang w:val="en-US" w:eastAsia="zh-CN" w:bidi="ar-SA"/>
        </w:rPr>
      </w:pPr>
    </w:p>
    <w:p w14:paraId="01685F2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firstLineChars="0"/>
        <w:jc w:val="center"/>
        <w:textAlignment w:val="auto"/>
        <w:rPr>
          <w:rFonts w:hint="eastAsia" w:ascii="方正小标宋_GBK" w:hAnsi="方正小标宋_GBK" w:eastAsia="方正小标宋_GBK" w:cs="方正小标宋_GBK"/>
          <w:color w:val="auto"/>
          <w:kern w:val="2"/>
          <w:sz w:val="36"/>
          <w:szCs w:val="36"/>
          <w:lang w:val="en-US" w:eastAsia="zh-CN" w:bidi="ar-SA"/>
        </w:rPr>
      </w:pPr>
      <w:r>
        <w:rPr>
          <w:rFonts w:hint="eastAsia" w:ascii="方正小标宋_GBK" w:hAnsi="方正小标宋_GBK" w:eastAsia="方正小标宋_GBK" w:cs="方正小标宋_GBK"/>
          <w:color w:val="auto"/>
          <w:kern w:val="2"/>
          <w:sz w:val="36"/>
          <w:szCs w:val="36"/>
          <w:lang w:val="en-US" w:eastAsia="zh-CN" w:bidi="ar-SA"/>
        </w:rPr>
        <w:t>阳江市中医医院医用耗材SPD项目采购需求书</w:t>
      </w:r>
    </w:p>
    <w:p w14:paraId="2C5D7B2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00" w:firstLineChars="200"/>
        <w:jc w:val="left"/>
        <w:textAlignment w:val="auto"/>
        <w:rPr>
          <w:rFonts w:hint="default" w:ascii="Times New Roman" w:hAnsi="Times New Roman" w:eastAsia="仿宋" w:cs="Times New Roman"/>
          <w:color w:val="auto"/>
          <w:kern w:val="2"/>
          <w:sz w:val="30"/>
          <w:szCs w:val="30"/>
          <w:lang w:val="en-US" w:eastAsia="zh-CN" w:bidi="ar-SA"/>
        </w:rPr>
      </w:pPr>
    </w:p>
    <w:p w14:paraId="2E5C900E">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jc w:val="both"/>
        <w:textAlignment w:val="baseline"/>
        <w:rPr>
          <w:rFonts w:hint="default" w:ascii="Times New Roman" w:hAnsi="Times New Roman" w:eastAsia="仿宋" w:cs="Times New Roman"/>
          <w:b w:val="0"/>
          <w:bCs/>
          <w:sz w:val="24"/>
          <w:szCs w:val="24"/>
          <w:lang w:val="en-US" w:eastAsia="zh-CN"/>
        </w:rPr>
      </w:pPr>
      <w:bookmarkStart w:id="0" w:name="OLE_LINK1"/>
      <w:r>
        <w:rPr>
          <w:rFonts w:hint="eastAsia" w:ascii="黑体" w:hAnsi="黑体" w:eastAsia="黑体" w:cs="黑体"/>
          <w:b w:val="0"/>
          <w:bCs/>
          <w:sz w:val="24"/>
          <w:szCs w:val="24"/>
          <w:lang w:val="en-US" w:eastAsia="zh-CN"/>
        </w:rPr>
        <w:t>一、采购内容：</w:t>
      </w:r>
      <w:r>
        <w:rPr>
          <w:rFonts w:hint="default" w:ascii="Times New Roman" w:hAnsi="Times New Roman" w:eastAsia="仿宋" w:cs="Times New Roman"/>
          <w:b w:val="0"/>
          <w:bCs/>
          <w:sz w:val="24"/>
          <w:szCs w:val="24"/>
          <w:lang w:val="en-US" w:eastAsia="zh-CN"/>
        </w:rPr>
        <w:t>采购医用耗材SPD服务公司1家。</w:t>
      </w:r>
    </w:p>
    <w:p w14:paraId="4BED82FB">
      <w:pPr>
        <w:pStyle w:val="2"/>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default" w:ascii="Times New Roman" w:hAnsi="Times New Roman" w:eastAsia="仿宋" w:cs="Times New Roman"/>
          <w:sz w:val="24"/>
          <w:szCs w:val="24"/>
          <w:lang w:val="en-US" w:eastAsia="zh-CN"/>
        </w:rPr>
      </w:pPr>
      <w:r>
        <w:rPr>
          <w:rFonts w:hint="default" w:ascii="黑体" w:hAnsi="黑体" w:eastAsia="黑体" w:cs="黑体"/>
          <w:b w:val="0"/>
          <w:bCs/>
          <w:kern w:val="2"/>
          <w:sz w:val="24"/>
          <w:szCs w:val="24"/>
          <w:lang w:val="en-US" w:eastAsia="zh-CN" w:bidi="ar-SA"/>
        </w:rPr>
        <w:t>二、</w:t>
      </w:r>
      <w:bookmarkStart w:id="1" w:name="OLE_LINK2"/>
      <w:r>
        <w:rPr>
          <w:rFonts w:hint="default" w:ascii="黑体" w:hAnsi="黑体" w:eastAsia="黑体" w:cs="黑体"/>
          <w:b w:val="0"/>
          <w:bCs/>
          <w:kern w:val="2"/>
          <w:sz w:val="24"/>
          <w:szCs w:val="24"/>
          <w:lang w:val="en-US" w:eastAsia="zh-CN" w:bidi="ar-SA"/>
        </w:rPr>
        <w:t>服务费：</w:t>
      </w:r>
      <w:r>
        <w:rPr>
          <w:rFonts w:hint="eastAsia" w:eastAsia="仿宋" w:cs="Times New Roman"/>
          <w:sz w:val="24"/>
          <w:szCs w:val="24"/>
          <w:lang w:val="en-US" w:eastAsia="zh-CN"/>
        </w:rPr>
        <w:t>服务商在不违反相关法律法规的前提下，可向SPD平台的产品供应商收取服务费，服务费率上限：3.0%</w:t>
      </w:r>
      <w:r>
        <w:rPr>
          <w:rFonts w:hint="default" w:ascii="Times New Roman" w:hAnsi="Times New Roman" w:eastAsia="仿宋" w:cs="Times New Roman"/>
          <w:sz w:val="24"/>
          <w:szCs w:val="24"/>
          <w:lang w:val="en-US" w:eastAsia="zh-CN"/>
        </w:rPr>
        <w:t>。</w:t>
      </w:r>
    </w:p>
    <w:bookmarkEnd w:id="1"/>
    <w:p w14:paraId="208E2048">
      <w:pPr>
        <w:pStyle w:val="2"/>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default" w:ascii="Times New Roman" w:hAnsi="Times New Roman" w:eastAsia="仿宋" w:cs="Times New Roman"/>
          <w:sz w:val="24"/>
          <w:szCs w:val="24"/>
          <w:lang w:val="en-US" w:eastAsia="zh-CN"/>
        </w:rPr>
      </w:pPr>
      <w:r>
        <w:rPr>
          <w:rFonts w:hint="eastAsia" w:ascii="黑体" w:hAnsi="黑体" w:eastAsia="黑体" w:cs="黑体"/>
          <w:b w:val="0"/>
          <w:bCs/>
          <w:kern w:val="2"/>
          <w:sz w:val="24"/>
          <w:szCs w:val="24"/>
          <w:lang w:val="en-US" w:eastAsia="zh-CN" w:bidi="ar-SA"/>
        </w:rPr>
        <w:t>三</w:t>
      </w:r>
      <w:r>
        <w:rPr>
          <w:rFonts w:hint="default" w:ascii="黑体" w:hAnsi="黑体" w:eastAsia="黑体" w:cs="黑体"/>
          <w:b w:val="0"/>
          <w:bCs/>
          <w:kern w:val="2"/>
          <w:sz w:val="24"/>
          <w:szCs w:val="24"/>
          <w:lang w:val="en-US" w:eastAsia="zh-CN" w:bidi="ar-SA"/>
        </w:rPr>
        <w:t>、服务期：</w:t>
      </w:r>
      <w:r>
        <w:rPr>
          <w:rFonts w:hint="eastAsia" w:eastAsia="仿宋" w:cs="Times New Roman"/>
          <w:sz w:val="24"/>
          <w:szCs w:val="24"/>
          <w:lang w:val="en-US" w:eastAsia="zh-CN"/>
        </w:rPr>
        <w:t>3</w:t>
      </w:r>
      <w:r>
        <w:rPr>
          <w:rFonts w:hint="default" w:ascii="Times New Roman" w:hAnsi="Times New Roman" w:eastAsia="仿宋" w:cs="Times New Roman"/>
          <w:sz w:val="24"/>
          <w:szCs w:val="24"/>
          <w:lang w:val="en-US" w:eastAsia="zh-CN"/>
        </w:rPr>
        <w:t>年。</w:t>
      </w:r>
    </w:p>
    <w:p w14:paraId="1B2BBBF0">
      <w:pPr>
        <w:pStyle w:val="2"/>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四、技术要求：</w:t>
      </w:r>
    </w:p>
    <w:bookmarkEnd w:id="0"/>
    <w:p w14:paraId="057FD49D">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（一）服务品类范围：医用</w:t>
      </w:r>
      <w:bookmarkStart w:id="3" w:name="_GoBack"/>
      <w:bookmarkEnd w:id="3"/>
      <w:r>
        <w:rPr>
          <w:rFonts w:hint="eastAsia" w:ascii="仿宋" w:hAnsi="仿宋" w:eastAsia="仿宋" w:cs="仿宋"/>
          <w:color w:val="auto"/>
          <w:kern w:val="0"/>
          <w:sz w:val="24"/>
          <w:szCs w:val="24"/>
          <w:highlight w:val="none"/>
          <w:lang w:val="en-US" w:eastAsia="zh-CN" w:bidi="ar"/>
        </w:rPr>
        <w:t>耗材、检验诊断试剂和消毒用品等。</w:t>
      </w:r>
    </w:p>
    <w:p w14:paraId="776B1B75">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医用耗材的目录、品规（品名、型号、规格、厂家）遴选由采购人决定。无权更改或干涉，应严格按采购人提供的耗材目录和品规进行配送。</w:t>
      </w:r>
    </w:p>
    <w:p w14:paraId="6C2CFE8F">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w:t>
      </w:r>
      <w:bookmarkStart w:id="2" w:name="OLE_LINK3"/>
      <w:r>
        <w:rPr>
          <w:rFonts w:hint="eastAsia" w:ascii="仿宋" w:hAnsi="仿宋" w:eastAsia="仿宋" w:cs="仿宋"/>
          <w:color w:val="auto"/>
          <w:kern w:val="0"/>
          <w:sz w:val="24"/>
          <w:szCs w:val="24"/>
          <w:highlight w:val="none"/>
          <w:lang w:val="en-US" w:eastAsia="zh-CN" w:bidi="ar"/>
        </w:rPr>
        <w:t>服务科室范围</w:t>
      </w:r>
      <w:bookmarkEnd w:id="2"/>
      <w:r>
        <w:rPr>
          <w:rFonts w:hint="eastAsia" w:ascii="仿宋" w:hAnsi="仿宋" w:eastAsia="仿宋" w:cs="仿宋"/>
          <w:color w:val="auto"/>
          <w:kern w:val="0"/>
          <w:sz w:val="24"/>
          <w:szCs w:val="24"/>
          <w:highlight w:val="none"/>
          <w:lang w:val="en-US" w:eastAsia="zh-CN" w:bidi="ar"/>
        </w:rPr>
        <w:t>：采购人所有使用医用耗材的科室、部门。</w:t>
      </w:r>
    </w:p>
    <w:p w14:paraId="13589D05">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（三）SPD平台的组成</w:t>
      </w:r>
    </w:p>
    <w:p w14:paraId="606B753F">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要为采购人构建符合法规监管要求的医用耗材智能化、精细化管理体系，配套 SPD 运营服务管理软件、智能设备、制度流程和服务人员，以形成高效运营的管理服务平台。</w:t>
      </w:r>
    </w:p>
    <w:p w14:paraId="53334BE3">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（四）精细化管理模式</w:t>
      </w:r>
    </w:p>
    <w:p w14:paraId="4B8B238D">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1.院内医用耗材一级库（SPD 中心库)实行集约化管理模式、二级库（病区及护理单元等）实行分布式精益化管理模式。</w:t>
      </w:r>
    </w:p>
    <w:p w14:paraId="7FBA8148">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2.实行以医疗护理实际使用消耗数据为结算依据的“用后结算”模式，兼容其他结算模式。</w:t>
      </w:r>
    </w:p>
    <w:p w14:paraId="50AE84D5">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实行不同耗材品类采用不同的管理模式；实行高值和高风险医用耗材的“一物一码”全过程闭环管理模式；实行单独计费医用耗材扫码计费与库存核销同步管理模式；实行医用耗材产品全生命周期轨迹可视化追溯模式。</w:t>
      </w:r>
    </w:p>
    <w:p w14:paraId="2B0333AE">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4.实现医用耗材院内全流程各环节数据统计分析与异常预警功能。</w:t>
      </w:r>
    </w:p>
    <w:p w14:paraId="5C04002D">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（五）SPD 信息数字化系统。应当为采购人定制开发和部署 SPD 信息数字化软件系统（以下简称“SPD系统”）。</w:t>
      </w:r>
    </w:p>
    <w:p w14:paraId="287CA479">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1.SPD 系统应当是医院医用耗材使用及管理的各部门提供医用耗材院内流转（供应链）信息及与之关联的诊疗信息的收集、存储、处理、提取和数据交换的功能的计算机软件系统。</w:t>
      </w:r>
    </w:p>
    <w:p w14:paraId="1C0105B7">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2.SPD系统更新或升级可迅速且安全地部署至各科室使用终端。</w:t>
      </w:r>
    </w:p>
    <w:p w14:paraId="43637E9A">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3.SPD 系统可以对接院内外医用耗材相关管理系统和平台；可以对接院内各种医用耗材智能化管理设备。建立各类管理模块，包括但不限于高值耗材管理模块、低值耗材管理模块、手术套包管理模块、检验试剂管理模块等。</w:t>
      </w:r>
    </w:p>
    <w:p w14:paraId="40956145">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备注：需要全闭环的手术耗材追溯方案，请提供一个手术耗材闭环管理的案例流程。</w:t>
      </w:r>
    </w:p>
    <w:p w14:paraId="4367FC1E">
      <w:pPr>
        <w:keepNext w:val="0"/>
        <w:keepLines w:val="0"/>
        <w:pageBreakBefore w:val="0"/>
        <w:widowControl/>
        <w:numPr>
          <w:ilvl w:val="0"/>
          <w:numId w:val="1"/>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SPD 系统应当具备供应商业务信息共享平台模块（以下简称“B2B 平台”），为医院医用耗材供应商提供其所供应的医用耗材订单及收货后院内的库存、消耗、结算的信息查询和信息反馈等线上服务。</w:t>
      </w:r>
    </w:p>
    <w:p w14:paraId="2D14FAF0">
      <w:pPr>
        <w:keepNext w:val="0"/>
        <w:keepLines w:val="0"/>
        <w:pageBreakBefore w:val="0"/>
        <w:widowControl/>
        <w:numPr>
          <w:ilvl w:val="0"/>
          <w:numId w:val="1"/>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厂商档案管理：供货商分类维护、供货商档案维护、企业商品对照管理、生产商档案维护、供应商资质证照管理等。</w:t>
      </w:r>
    </w:p>
    <w:p w14:paraId="310174F4">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6.SPD 系统可根据采购人需求，定制开发提取、查询、统计、分析数据的功能模块。SPD系统可按医院要求定制多维度的数据统计和图表展现方式，支持大数据挖掘分析，为医院 DRG、DIP 提供数据支持。</w:t>
      </w:r>
    </w:p>
    <w:p w14:paraId="155EEC02">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7.实现医院管理人员通过手机进行采购计划查看，支持多级采购计划审批，支持通过微信或短信方式将采购订单推送给供应商。</w:t>
      </w:r>
    </w:p>
    <w:p w14:paraId="44B3E497">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8.SPD 系统应当随医院业务发展、管理深化和监管需求的不断调整，快速响应，高效组织功能模块的开发和部署。SPD 系统应当不断优化、升级和迭代。</w:t>
      </w:r>
    </w:p>
    <w:p w14:paraId="7F91C11C">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（六）智能化设施设备。应当根据多科室不同业务场景，为采购人配置可以满足医用耗材管理多样化需求的智能化设备。</w:t>
      </w:r>
    </w:p>
    <w:p w14:paraId="7AEA3961">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应当为手术、介入和内镜等平台科室高值医用耗材智能管理间、根据场地实际建立低/中/高值医用耗材智能管理柜，为病区等护理单元配置普通医用耗材智能管理柜或手持移动智能终端机（PDA）。并请详细描述智能柜是如何满足上述各个不同手术特点的特殊功能以及特殊流程。</w:t>
      </w:r>
    </w:p>
    <w:p w14:paraId="77C52BA0">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2.为医学检验科室改造并配置智能管理设备的试剂冷库。（提供智能试剂冷库改造或智能设备配置的效果图）</w:t>
      </w:r>
    </w:p>
    <w:p w14:paraId="1CCA2915">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（七）配备院内运营服务团队。</w:t>
      </w:r>
    </w:p>
    <w:p w14:paraId="1EFCBCC4">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1.院内运营服务团队负责平台运营管理、技术运维、结算辅助和操作培训等服务；负责医用耗材院内的贮存养护、物流配送等服务。</w:t>
      </w:r>
    </w:p>
    <w:p w14:paraId="2444999F">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2.院内运营服务团队人数≥10人。团队关键岗位人员要求至少具备医学工程、药学、护理或医学专业学历（学习）背景。</w:t>
      </w:r>
    </w:p>
    <w:p w14:paraId="6C382564">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（八）院内识别码。</w:t>
      </w:r>
    </w:p>
    <w:p w14:paraId="4CBCBB92">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SPD 平台应当支持医用耗材院内识别码管理，院内识别码可以应用条形码、二维码、RFID 等不同识别技术，适用不同的使用场景。 院内识别码应当是其所对应产品包装的唯一标识，通过院内识别码可以解析包括但不限于：产品编码、名称、规格、型号、生产企业、批号效期、计费编码、计量单位、数量和供应商等信息。</w:t>
      </w:r>
    </w:p>
    <w:p w14:paraId="2E557985">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（九）其他设施设备。</w:t>
      </w:r>
    </w:p>
    <w:p w14:paraId="3464D778">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应当为 SPD 平台提供必要的其他设施设备，并应当根据医院业务发展和管理深化需求的不断调整增配或升级设备设施，包括但不限于：服务器、计算机、各类打印机、识别仪器、冷链设备、仓储设备、院内运送设备工具、数据统计及作业进度展示屏等。</w:t>
      </w:r>
    </w:p>
    <w:p w14:paraId="1F5B31EC">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firstLine="480" w:firstLineChars="200"/>
        <w:textAlignment w:val="baseline"/>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（十）产品在交付给患者或科室使用后才视为所有权转移给医院，在所有权发生转移之前由精细化SPD运营管理服务商管理，产品的风险由服务商承担。</w:t>
      </w:r>
    </w:p>
    <w:p w14:paraId="38B9410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20" w:firstLineChars="200"/>
        <w:jc w:val="left"/>
        <w:textAlignment w:val="auto"/>
        <w:rPr>
          <w:rFonts w:hint="default" w:ascii="Times New Roman" w:hAnsi="Times New Roman" w:eastAsia="仿宋" w:cs="Times New Roman"/>
          <w:bCs/>
          <w:spacing w:val="10"/>
          <w:kern w:val="0"/>
          <w:sz w:val="24"/>
          <w:szCs w:val="24"/>
          <w:highlight w:val="none"/>
          <w:lang w:val="en-US" w:eastAsia="zh-CN" w:bidi="ar-SA"/>
        </w:rPr>
      </w:pPr>
      <w:r>
        <w:rPr>
          <w:rFonts w:hint="eastAsia" w:ascii="Times New Roman" w:hAnsi="Times New Roman" w:eastAsia="仿宋" w:cs="Times New Roman"/>
          <w:bCs/>
          <w:spacing w:val="10"/>
          <w:kern w:val="0"/>
          <w:sz w:val="24"/>
          <w:szCs w:val="24"/>
          <w:highlight w:val="none"/>
          <w:lang w:val="en-US" w:eastAsia="zh-CN" w:bidi="ar-SA"/>
        </w:rPr>
        <w:t>备注：以上需求仅为初步需求，最终需求以招标公告为准！</w:t>
      </w:r>
    </w:p>
    <w:p w14:paraId="144DCF4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00" w:firstLineChars="200"/>
        <w:jc w:val="left"/>
        <w:textAlignment w:val="auto"/>
        <w:rPr>
          <w:rFonts w:hint="default" w:ascii="Times New Roman" w:hAnsi="Times New Roman" w:eastAsia="仿宋" w:cs="Times New Roman"/>
          <w:color w:val="auto"/>
          <w:kern w:val="2"/>
          <w:sz w:val="30"/>
          <w:szCs w:val="30"/>
          <w:lang w:val="en-US" w:eastAsia="zh-CN" w:bidi="ar-SA"/>
        </w:rPr>
      </w:pPr>
    </w:p>
    <w:p w14:paraId="664ED8D6">
      <w:pPr>
        <w:pageBreakBefore w:val="0"/>
        <w:kinsoku/>
        <w:wordWrap/>
        <w:overflowPunct/>
        <w:topLinePunct w:val="0"/>
        <w:autoSpaceDE/>
        <w:autoSpaceDN/>
        <w:bidi w:val="0"/>
        <w:adjustRightInd/>
        <w:snapToGrid/>
        <w:spacing w:line="500" w:lineRule="exact"/>
        <w:textAlignment w:val="auto"/>
        <w:rPr>
          <w:rFonts w:hint="default" w:ascii="Times New Roman" w:hAnsi="Times New Roman" w:cs="Times New Roman"/>
          <w:color w:val="auto"/>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7E3256-FE93-415D-BD66-C5CB5B5503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E89A47B-216A-4762-832C-9EC9A04ED288}"/>
  </w:font>
  <w:font w:name="仿宋">
    <w:panose1 w:val="02010609060101010101"/>
    <w:charset w:val="86"/>
    <w:family w:val="auto"/>
    <w:pitch w:val="default"/>
    <w:sig w:usb0="800002BF" w:usb1="38CF7CFA" w:usb2="00000016" w:usb3="00000000" w:csb0="00040001" w:csb1="00000000"/>
    <w:embedRegular r:id="rId3" w:fontKey="{8E8E181F-FD20-44E5-A7C9-48DDD5711F71}"/>
  </w:font>
  <w:font w:name="方正小标宋_GBK">
    <w:panose1 w:val="02000000000000000000"/>
    <w:charset w:val="86"/>
    <w:family w:val="auto"/>
    <w:pitch w:val="default"/>
    <w:sig w:usb0="A00002BF" w:usb1="38CF7CFA" w:usb2="00082016" w:usb3="00000000" w:csb0="00040001" w:csb1="00000000"/>
    <w:embedRegular r:id="rId4" w:fontKey="{76C56870-4EEA-490F-855E-F37152BE175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C9E7EF"/>
    <w:multiLevelType w:val="singleLevel"/>
    <w:tmpl w:val="92C9E7EF"/>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4YTgxYTVhNDg5M2IyMWYzZTYwMmM0ZmNiMjhkMzAifQ=="/>
  </w:docVars>
  <w:rsids>
    <w:rsidRoot w:val="44366FAB"/>
    <w:rsid w:val="02073760"/>
    <w:rsid w:val="024A3E9E"/>
    <w:rsid w:val="043615EC"/>
    <w:rsid w:val="062C6D36"/>
    <w:rsid w:val="06A430F4"/>
    <w:rsid w:val="117F3EE5"/>
    <w:rsid w:val="240F118A"/>
    <w:rsid w:val="28402E02"/>
    <w:rsid w:val="2DAE40B5"/>
    <w:rsid w:val="30820098"/>
    <w:rsid w:val="31B71515"/>
    <w:rsid w:val="361C5587"/>
    <w:rsid w:val="3A9E1B37"/>
    <w:rsid w:val="3EBE05FA"/>
    <w:rsid w:val="436B16E8"/>
    <w:rsid w:val="43C6387D"/>
    <w:rsid w:val="44366FAB"/>
    <w:rsid w:val="46BC5657"/>
    <w:rsid w:val="493A685C"/>
    <w:rsid w:val="57E141FC"/>
    <w:rsid w:val="59EA4955"/>
    <w:rsid w:val="5C1E0F6D"/>
    <w:rsid w:val="613628D0"/>
    <w:rsid w:val="70B84F3C"/>
    <w:rsid w:val="725E4ABA"/>
    <w:rsid w:val="72925075"/>
    <w:rsid w:val="7BDF4EBD"/>
    <w:rsid w:val="7F223058"/>
    <w:rsid w:val="7F7D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next w:val="1"/>
    <w:qFormat/>
    <w:uiPriority w:val="0"/>
    <w:pPr>
      <w:keepNext/>
      <w:keepLines/>
      <w:widowControl w:val="0"/>
      <w:spacing w:before="340" w:beforeLines="0" w:beforeAutospacing="0" w:after="330" w:afterLines="0" w:afterAutospacing="0" w:line="576" w:lineRule="auto"/>
      <w:jc w:val="both"/>
      <w:outlineLvl w:val="0"/>
    </w:pPr>
    <w:rPr>
      <w:rFonts w:asciiTheme="minorHAnsi" w:hAnsiTheme="minorHAnsi" w:eastAsiaTheme="minorEastAsia" w:cstheme="minorBidi"/>
      <w:b/>
      <w:kern w:val="44"/>
      <w:sz w:val="44"/>
      <w:szCs w:val="24"/>
      <w:lang w:val="en-US" w:eastAsia="zh-CN" w:bidi="ar-SA"/>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qFormat/>
    <w:uiPriority w:val="0"/>
    <w:pPr>
      <w:ind w:firstLine="420" w:firstLineChars="200"/>
      <w:jc w:val="both"/>
      <w:textAlignment w:val="baseline"/>
    </w:pPr>
    <w:rPr>
      <w:rFonts w:ascii="Times New Roman" w:hAnsi="Times New Roman" w:eastAsia="宋体" w:cs="Times New Roman"/>
      <w:kern w:val="2"/>
      <w:sz w:val="21"/>
      <w:szCs w:val="21"/>
      <w:lang w:val="en-US" w:eastAsia="zh-CN" w:bidi="ar-SA"/>
    </w:rPr>
  </w:style>
  <w:style w:type="paragraph" w:styleId="5">
    <w:name w:val="Normal (Web)"/>
    <w:qFormat/>
    <w:uiPriority w:val="0"/>
    <w:pPr>
      <w:widowControl w:val="0"/>
      <w:spacing w:before="0" w:beforeAutospacing="1" w:after="0" w:afterAutospacing="1"/>
      <w:ind w:left="0" w:right="0"/>
      <w:jc w:val="left"/>
    </w:pPr>
    <w:rPr>
      <w:rFonts w:asciiTheme="minorHAnsi" w:hAnsiTheme="minorHAnsi" w:eastAsiaTheme="minorEastAsia" w:cstheme="minorBidi"/>
      <w:kern w:val="0"/>
      <w:sz w:val="24"/>
      <w:szCs w:val="24"/>
      <w:lang w:val="en-US" w:eastAsia="zh-CN" w:bidi="ar"/>
    </w:rPr>
  </w:style>
  <w:style w:type="character" w:styleId="8">
    <w:name w:val="Hyperlink"/>
    <w:basedOn w:val="7"/>
    <w:qFormat/>
    <w:uiPriority w:val="0"/>
    <w:rPr>
      <w:color w:val="0000FF"/>
      <w:u w:val="single"/>
    </w:rPr>
  </w:style>
  <w:style w:type="paragraph" w:customStyle="1" w:styleId="9">
    <w:name w:val="表格文字"/>
    <w:autoRedefine/>
    <w:qFormat/>
    <w:uiPriority w:val="0"/>
    <w:pPr>
      <w:spacing w:before="25" w:after="25"/>
      <w:jc w:val="left"/>
      <w:textAlignment w:val="baseline"/>
    </w:pPr>
    <w:rPr>
      <w:rFonts w:ascii="Times New Roman" w:hAnsi="Times New Roman" w:eastAsia="宋体" w:cs="Times New Roman"/>
      <w:bCs/>
      <w:spacing w:val="10"/>
      <w:kern w:val="0"/>
      <w:sz w:val="24"/>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8957</Words>
  <Characters>9205</Characters>
  <Lines>0</Lines>
  <Paragraphs>0</Paragraphs>
  <TotalTime>252</TotalTime>
  <ScaleCrop>false</ScaleCrop>
  <LinksUpToDate>false</LinksUpToDate>
  <CharactersWithSpaces>9234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2023-05-05T00:53:00Z</dcterms:created>
  <dc:creator>kingjoy</dc:creator>
  <cp:lastModifiedBy>kingjoy</cp:lastModifiedBy>
  <cp:lastPrinted>2024-11-26T01:57:00Z</cp:lastPrinted>
  <dcterms:modified xsi:type="dcterms:W3CDTF">2024-11-26T02:23:06Z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6B4865F1A6F64B6FB84E4FB451CCCBA7_13</vt:lpwstr>
  </property>
</Properties>
</file>